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64" w:lineRule="auto"/>
        <w:pBdr>
          <w:bottom w:val="single" w:sz="8" w:space="6" w:color="2E74B5"/>
        </w:pBdr>
      </w:pPr>
      <w:r>
        <w:rPr>
          <w:rFonts w:ascii="Calibri" w:hAnsi="Calibri"/>
          <w:b/>
          <w:i w:val="0"/>
          <w:color w:val="000000"/>
          <w:sz w:val="40"/>
        </w:rPr>
        <w:t>UPDATED CREDITWORTHINESS EVALUATION REPORT</w:t>
      </w:r>
    </w:p>
    <w:p>
      <w:pPr>
        <w:spacing w:before="0" w:after="240" w:line="264" w:lineRule="auto"/>
      </w:pPr>
      <w:r>
        <w:rPr>
          <w:rFonts w:ascii="Calibri" w:hAnsi="Calibri"/>
          <w:b w:val="0"/>
          <w:i w:val="0"/>
          <w:color w:val="5A5A5A"/>
          <w:sz w:val="26"/>
        </w:rPr>
        <w:t>Approval-Assumption Scenario for Ever Amarildo Cardoza - 320 Rose Pl / Rose Place</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4680"/>
            <w:shd w:fill="F2F4F7"/>
            <w:tcW w:w="2300" w:type="dxa"/>
            <w:vAlign w:val="center"/>
            <w:tcMar>
              <w:top w:w="80" w:type="dxa"/>
              <w:bottom w:w="80" w:type="dxa"/>
              <w:start w:w="120" w:type="dxa"/>
              <w:end w:w="120" w:type="dxa"/>
            </w:tcMar>
          </w:tcPr>
          <w:p>
            <w:r>
              <w:t>Prepared by</w:t>
            </w:r>
          </w:p>
        </w:tc>
        <w:tc>
          <w:tcPr>
            <w:tcW w:type="dxa" w:w="4680"/>
            <w:tcW w:w="7060" w:type="dxa"/>
            <w:vAlign w:val="center"/>
            <w:tcMar>
              <w:top w:w="80" w:type="dxa"/>
              <w:bottom w:w="80" w:type="dxa"/>
              <w:start w:w="120" w:type="dxa"/>
              <w:end w:w="120" w:type="dxa"/>
            </w:tcMar>
          </w:tcPr>
          <w:p>
            <w:r>
              <w:t>Investment Services, LLC</w:t>
            </w:r>
          </w:p>
        </w:tc>
      </w:tr>
      <w:tr>
        <w:tc>
          <w:tcPr>
            <w:tcW w:type="dxa" w:w="4680"/>
            <w:shd w:fill="F2F4F7"/>
            <w:tcW w:w="2300" w:type="dxa"/>
            <w:vAlign w:val="center"/>
            <w:tcMar>
              <w:top w:w="80" w:type="dxa"/>
              <w:bottom w:w="80" w:type="dxa"/>
              <w:start w:w="120" w:type="dxa"/>
              <w:end w:w="120" w:type="dxa"/>
            </w:tcMar>
          </w:tcPr>
          <w:p>
            <w:r>
              <w:t>Report date</w:t>
            </w:r>
          </w:p>
        </w:tc>
        <w:tc>
          <w:tcPr>
            <w:tcW w:type="dxa" w:w="4680"/>
            <w:tcW w:w="7060" w:type="dxa"/>
            <w:vAlign w:val="center"/>
            <w:tcMar>
              <w:top w:w="80" w:type="dxa"/>
              <w:bottom w:w="80" w:type="dxa"/>
              <w:start w:w="120" w:type="dxa"/>
              <w:end w:w="120" w:type="dxa"/>
            </w:tcMar>
          </w:tcPr>
          <w:p>
            <w:r>
              <w:t>June 5, 2026</w:t>
            </w:r>
          </w:p>
        </w:tc>
      </w:tr>
      <w:tr>
        <w:tc>
          <w:tcPr>
            <w:tcW w:type="dxa" w:w="4680"/>
            <w:shd w:fill="F2F4F7"/>
            <w:tcW w:w="2300" w:type="dxa"/>
            <w:vAlign w:val="center"/>
            <w:tcMar>
              <w:top w:w="80" w:type="dxa"/>
              <w:bottom w:w="80" w:type="dxa"/>
              <w:start w:w="120" w:type="dxa"/>
              <w:end w:w="120" w:type="dxa"/>
            </w:tcMar>
          </w:tcPr>
          <w:p>
            <w:r>
              <w:t>Subject buyer</w:t>
            </w:r>
          </w:p>
        </w:tc>
        <w:tc>
          <w:tcPr>
            <w:tcW w:type="dxa" w:w="4680"/>
            <w:tcW w:w="7060" w:type="dxa"/>
            <w:vAlign w:val="center"/>
            <w:tcMar>
              <w:top w:w="80" w:type="dxa"/>
              <w:bottom w:w="80" w:type="dxa"/>
              <w:start w:w="120" w:type="dxa"/>
              <w:end w:w="120" w:type="dxa"/>
            </w:tcMar>
          </w:tcPr>
          <w:p>
            <w:r>
              <w:t>Ever Amarildo Cardoza</w:t>
            </w:r>
          </w:p>
        </w:tc>
      </w:tr>
      <w:tr>
        <w:tc>
          <w:tcPr>
            <w:tcW w:type="dxa" w:w="4680"/>
            <w:shd w:fill="F2F4F7"/>
            <w:tcW w:w="2300" w:type="dxa"/>
            <w:vAlign w:val="center"/>
            <w:tcMar>
              <w:top w:w="80" w:type="dxa"/>
              <w:bottom w:w="80" w:type="dxa"/>
              <w:start w:w="120" w:type="dxa"/>
              <w:end w:w="120" w:type="dxa"/>
            </w:tcMar>
          </w:tcPr>
          <w:p>
            <w:r>
              <w:t>Property</w:t>
            </w:r>
          </w:p>
        </w:tc>
        <w:tc>
          <w:tcPr>
            <w:tcW w:type="dxa" w:w="4680"/>
            <w:tcW w:w="7060" w:type="dxa"/>
            <w:vAlign w:val="center"/>
            <w:tcMar>
              <w:top w:w="80" w:type="dxa"/>
              <w:bottom w:w="80" w:type="dxa"/>
              <w:start w:w="120" w:type="dxa"/>
              <w:end w:w="120" w:type="dxa"/>
            </w:tcMar>
          </w:tcPr>
          <w:p>
            <w:r>
              <w:t>320 Rose Pl / Rose Place</w:t>
            </w:r>
          </w:p>
        </w:tc>
      </w:tr>
      <w:tr>
        <w:tc>
          <w:tcPr>
            <w:tcW w:type="dxa" w:w="4680"/>
            <w:shd w:fill="F2F4F7"/>
            <w:tcW w:w="2300" w:type="dxa"/>
            <w:vAlign w:val="center"/>
            <w:tcMar>
              <w:top w:w="80" w:type="dxa"/>
              <w:bottom w:w="80" w:type="dxa"/>
              <w:start w:w="120" w:type="dxa"/>
              <w:end w:w="120" w:type="dxa"/>
            </w:tcMar>
          </w:tcPr>
          <w:p>
            <w:r>
              <w:t>Purpose</w:t>
            </w:r>
          </w:p>
        </w:tc>
        <w:tc>
          <w:tcPr>
            <w:tcW w:type="dxa" w:w="4680"/>
            <w:tcW w:w="7060" w:type="dxa"/>
            <w:vAlign w:val="center"/>
            <w:tcMar>
              <w:top w:w="80" w:type="dxa"/>
              <w:bottom w:w="80" w:type="dxa"/>
              <w:start w:w="120" w:type="dxa"/>
              <w:end w:w="120" w:type="dxa"/>
            </w:tcMar>
          </w:tcPr>
          <w:p>
            <w:r>
              <w:t>Approval-assumption ability-to-repay rerun for Sell Your Home after request for withdrawal explanations</w:t>
            </w:r>
          </w:p>
        </w:tc>
      </w:tr>
      <w:tr>
        <w:tc>
          <w:tcPr>
            <w:tcW w:type="dxa" w:w="4680"/>
            <w:shd w:fill="F2F4F7"/>
            <w:tcW w:w="2300" w:type="dxa"/>
            <w:vAlign w:val="center"/>
            <w:tcMar>
              <w:top w:w="80" w:type="dxa"/>
              <w:bottom w:w="80" w:type="dxa"/>
              <w:start w:w="120" w:type="dxa"/>
              <w:end w:w="120" w:type="dxa"/>
            </w:tcMar>
          </w:tcPr>
          <w:p>
            <w:r>
              <w:t>Overall result</w:t>
            </w:r>
          </w:p>
        </w:tc>
        <w:tc>
          <w:tcPr>
            <w:tcW w:type="dxa" w:w="4680"/>
            <w:tcW w:w="7060" w:type="dxa"/>
            <w:vAlign w:val="center"/>
            <w:tcMar>
              <w:top w:w="80" w:type="dxa"/>
              <w:bottom w:w="80" w:type="dxa"/>
              <w:start w:w="120" w:type="dxa"/>
              <w:end w:w="120" w:type="dxa"/>
            </w:tcMar>
          </w:tcPr>
          <w:p>
            <w:r>
              <w:t>Conditional approval supportable under stated assumptions for Ever Amarildo Cardoza; not unconditional until evidence, funds, and compliance conditions are satisfied</w:t>
            </w:r>
          </w:p>
        </w:tc>
      </w:tr>
    </w:tbl>
    <w:p>
      <w:pPr>
        <w:spacing w:before="0" w:after="40" w:line="264" w:lineRule="auto"/>
      </w:pP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Executive Recommendation</w:t>
              <w:br/>
              <w:t>Under approval-assumption mode, Investment Services, LLC finds conditional approval supportable if Ever actually provides satisfactory documentation showing that the business withdrawals and Matthew Flooring LLC profit-and-loss activity support at least $9,500/month of borrower-level net or available income. The housing ratio is acceptable at 28.4% using that verified income. The back-end ratio remains high at 51.2%, so final approval should remain conditioned on the income package, proof of cash to close and reserves, current personal statements, final debt confirmation, and attorney/compliance review. If the assumed answers are not proven, the prior do-not-approve result remains appropriate.</w:t>
            </w:r>
          </w:p>
        </w:tc>
      </w:tr>
    </w:tbl>
    <w:p>
      <w:pPr>
        <w:spacing w:before="0" w:after="40" w:line="264" w:lineRule="auto"/>
      </w:pPr>
    </w:p>
    <w:p>
      <w:pPr>
        <w:pStyle w:val="Heading1"/>
        <w:keepNext/>
        <w:spacing w:before="320" w:after="160"/>
      </w:pPr>
      <w:r>
        <w:rPr>
          <w:rFonts w:ascii="Calibri" w:hAnsi="Calibri"/>
          <w:b/>
          <w:i w:val="0"/>
          <w:color w:val="2E74B5"/>
          <w:sz w:val="32"/>
        </w:rPr>
        <w:t>What Changed In This Rerun</w:t>
      </w:r>
    </w:p>
    <w:p>
      <w:pPr>
        <w:pStyle w:val="ListBullet"/>
        <w:spacing w:after="140" w:line="280" w:lineRule="auto"/>
        <w:ind w:left="720" w:hanging="360"/>
      </w:pPr>
      <w:r>
        <w:rPr>
          <w:rFonts w:ascii="Calibri" w:hAnsi="Calibri"/>
          <w:b w:val="0"/>
          <w:i w:val="0"/>
          <w:color w:val="000000"/>
          <w:sz w:val="22"/>
        </w:rPr>
        <w:t>This version was rerun in approval-assumption mode at Sell Your Home's request.</w:t>
      </w:r>
    </w:p>
    <w:p>
      <w:pPr>
        <w:pStyle w:val="ListBullet"/>
        <w:spacing w:after="140" w:line="280" w:lineRule="auto"/>
        <w:ind w:left="720" w:hanging="360"/>
      </w:pPr>
      <w:r>
        <w:rPr>
          <w:rFonts w:ascii="Calibri" w:hAnsi="Calibri"/>
          <w:b w:val="0"/>
          <w:i w:val="0"/>
          <w:color w:val="000000"/>
          <w:sz w:val="22"/>
        </w:rPr>
        <w:t>The scenario assumes Ever provides satisfactory written explanations, verification, and/or a current Matthew Flooring LLC profit-and-loss statement supporting the business withdrawals and borrower-level income.</w:t>
      </w:r>
    </w:p>
    <w:p>
      <w:pPr>
        <w:pStyle w:val="ListBullet"/>
        <w:spacing w:after="140" w:line="280" w:lineRule="auto"/>
        <w:ind w:left="720" w:hanging="360"/>
      </w:pPr>
      <w:r>
        <w:rPr>
          <w:rFonts w:ascii="Calibri" w:hAnsi="Calibri"/>
          <w:b w:val="0"/>
          <w:i w:val="0"/>
          <w:color w:val="000000"/>
          <w:sz w:val="22"/>
        </w:rPr>
        <w:t>Under that assumption, the file can support conditional approval; if the assumptions are not proven, the prior do-not-approve recommendation remains controlling.</w:t>
      </w:r>
    </w:p>
    <w:p>
      <w:r>
        <w:br w:type="page"/>
      </w:r>
    </w:p>
    <w:p>
      <w:pPr>
        <w:pStyle w:val="Heading1"/>
        <w:keepNext/>
        <w:spacing w:before="320" w:after="160"/>
      </w:pPr>
      <w:r>
        <w:rPr>
          <w:rFonts w:ascii="Calibri" w:hAnsi="Calibri"/>
          <w:b/>
          <w:i w:val="0"/>
          <w:color w:val="2E74B5"/>
          <w:sz w:val="32"/>
        </w:rPr>
        <w:t>Transaction Snapshot</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Supported Transaction Facts</w:t>
            </w:r>
          </w:p>
        </w:tc>
      </w:tr>
      <w:tr>
        <w:tc>
          <w:tcPr>
            <w:tcW w:type="dxa" w:w="4680"/>
            <w:shd w:fill="F2F4F7"/>
            <w:tcW w:w="2300" w:type="dxa"/>
            <w:vAlign w:val="center"/>
            <w:tcMar>
              <w:top w:w="80" w:type="dxa"/>
              <w:bottom w:w="80" w:type="dxa"/>
              <w:start w:w="120" w:type="dxa"/>
              <w:end w:w="120" w:type="dxa"/>
            </w:tcMar>
          </w:tcPr>
          <w:p>
            <w:r>
              <w:t>Purchase price</w:t>
            </w:r>
          </w:p>
        </w:tc>
        <w:tc>
          <w:tcPr>
            <w:tcW w:type="dxa" w:w="4680"/>
            <w:tcW w:w="7060" w:type="dxa"/>
            <w:vAlign w:val="center"/>
            <w:tcMar>
              <w:top w:w="80" w:type="dxa"/>
              <w:bottom w:w="80" w:type="dxa"/>
              <w:start w:w="120" w:type="dxa"/>
              <w:end w:w="120" w:type="dxa"/>
            </w:tcMar>
          </w:tcPr>
          <w:p>
            <w:r>
              <w:t>$346,500 implied from a stated 6% down payment of $20,790.</w:t>
            </w:r>
          </w:p>
        </w:tc>
      </w:tr>
      <w:tr>
        <w:tc>
          <w:tcPr>
            <w:tcW w:type="dxa" w:w="4680"/>
            <w:shd w:fill="F2F4F7"/>
            <w:tcW w:w="2300" w:type="dxa"/>
            <w:vAlign w:val="center"/>
            <w:tcMar>
              <w:top w:w="80" w:type="dxa"/>
              <w:bottom w:w="80" w:type="dxa"/>
              <w:start w:w="120" w:type="dxa"/>
              <w:end w:w="120" w:type="dxa"/>
            </w:tcMar>
          </w:tcPr>
          <w:p>
            <w:r>
              <w:t>Proposed monthly payment</w:t>
            </w:r>
          </w:p>
        </w:tc>
        <w:tc>
          <w:tcPr>
            <w:tcW w:type="dxa" w:w="4680"/>
            <w:tcW w:w="7060" w:type="dxa"/>
            <w:vAlign w:val="center"/>
            <w:tcMar>
              <w:top w:w="80" w:type="dxa"/>
              <w:bottom w:w="80" w:type="dxa"/>
              <w:start w:w="120" w:type="dxa"/>
              <w:end w:w="120" w:type="dxa"/>
            </w:tcMar>
          </w:tcPr>
          <w:p>
            <w:r>
              <w:t>$2,701, described as including principal, interest, property taxes, and insurance escrow.</w:t>
            </w:r>
          </w:p>
        </w:tc>
      </w:tr>
      <w:tr>
        <w:tc>
          <w:tcPr>
            <w:tcW w:type="dxa" w:w="4680"/>
            <w:shd w:fill="F2F4F7"/>
            <w:tcW w:w="2300" w:type="dxa"/>
            <w:vAlign w:val="center"/>
            <w:tcMar>
              <w:top w:w="80" w:type="dxa"/>
              <w:bottom w:w="80" w:type="dxa"/>
              <w:start w:w="120" w:type="dxa"/>
              <w:end w:w="120" w:type="dxa"/>
            </w:tcMar>
          </w:tcPr>
          <w:p>
            <w:r>
              <w:t>Earnest money</w:t>
            </w:r>
          </w:p>
        </w:tc>
        <w:tc>
          <w:tcPr>
            <w:tcW w:type="dxa" w:w="4680"/>
            <w:tcW w:w="7060" w:type="dxa"/>
            <w:vAlign w:val="center"/>
            <w:tcMar>
              <w:top w:w="80" w:type="dxa"/>
              <w:bottom w:w="80" w:type="dxa"/>
              <w:start w:w="120" w:type="dxa"/>
              <w:end w:w="120" w:type="dxa"/>
            </w:tcMar>
          </w:tcPr>
          <w:p>
            <w:r>
              <w:t>$6,000 due at contract signing, with remaining down payment due at attorney closing.</w:t>
            </w:r>
          </w:p>
        </w:tc>
      </w:tr>
      <w:tr>
        <w:tc>
          <w:tcPr>
            <w:tcW w:type="dxa" w:w="4680"/>
            <w:shd w:fill="F2F4F7"/>
            <w:tcW w:w="2300" w:type="dxa"/>
            <w:vAlign w:val="center"/>
            <w:tcMar>
              <w:top w:w="80" w:type="dxa"/>
              <w:bottom w:w="80" w:type="dxa"/>
              <w:start w:w="120" w:type="dxa"/>
              <w:end w:w="120" w:type="dxa"/>
            </w:tcMar>
          </w:tcPr>
          <w:p>
            <w:r>
              <w:t>Rent history</w:t>
            </w:r>
          </w:p>
        </w:tc>
        <w:tc>
          <w:tcPr>
            <w:tcW w:type="dxa" w:w="4680"/>
            <w:tcW w:w="7060" w:type="dxa"/>
            <w:vAlign w:val="center"/>
            <w:tcMar>
              <w:top w:w="80" w:type="dxa"/>
              <w:bottom w:w="80" w:type="dxa"/>
              <w:start w:w="120" w:type="dxa"/>
              <w:end w:w="120" w:type="dxa"/>
            </w:tcMar>
          </w:tcPr>
          <w:p>
            <w:r>
              <w:t>Sell Your Home rent verification letter states $1,850/month rent from July 2025 through June 2026 and timely payments.</w:t>
            </w:r>
          </w:p>
        </w:tc>
      </w:tr>
      <w:tr>
        <w:tc>
          <w:tcPr>
            <w:tcW w:type="dxa" w:w="4680"/>
            <w:shd w:fill="F2F4F7"/>
            <w:tcW w:w="2300" w:type="dxa"/>
            <w:vAlign w:val="center"/>
            <w:tcMar>
              <w:top w:w="80" w:type="dxa"/>
              <w:bottom w:w="80" w:type="dxa"/>
              <w:start w:w="120" w:type="dxa"/>
              <w:end w:w="120" w:type="dxa"/>
            </w:tcMar>
          </w:tcPr>
          <w:p>
            <w:r>
              <w:t>Current rent in Zillow application</w:t>
            </w:r>
          </w:p>
        </w:tc>
        <w:tc>
          <w:tcPr>
            <w:tcW w:type="dxa" w:w="4680"/>
            <w:tcW w:w="7060" w:type="dxa"/>
            <w:vAlign w:val="center"/>
            <w:tcMar>
              <w:top w:w="80" w:type="dxa"/>
              <w:bottom w:w="80" w:type="dxa"/>
              <w:start w:w="120" w:type="dxa"/>
              <w:end w:w="120" w:type="dxa"/>
            </w:tcMar>
          </w:tcPr>
          <w:p>
            <w:r>
              <w:t>$1,885/month shown in applicant details.</w:t>
            </w:r>
          </w:p>
        </w:tc>
      </w:tr>
      <w:tr>
        <w:tc>
          <w:tcPr>
            <w:tcW w:type="dxa" w:w="4680"/>
            <w:shd w:fill="F2F4F7"/>
            <w:tcW w:w="2300" w:type="dxa"/>
            <w:vAlign w:val="center"/>
            <w:tcMar>
              <w:top w:w="80" w:type="dxa"/>
              <w:bottom w:w="80" w:type="dxa"/>
              <w:start w:w="120" w:type="dxa"/>
              <w:end w:w="120" w:type="dxa"/>
            </w:tcMar>
          </w:tcPr>
          <w:p>
            <w:r>
              <w:t>Structure still unresolved</w:t>
            </w:r>
          </w:p>
        </w:tc>
        <w:tc>
          <w:tcPr>
            <w:tcW w:type="dxa" w:w="4680"/>
            <w:tcW w:w="7060" w:type="dxa"/>
            <w:vAlign w:val="center"/>
            <w:tcMar>
              <w:top w:w="80" w:type="dxa"/>
              <w:bottom w:w="80" w:type="dxa"/>
              <w:start w:w="120" w:type="dxa"/>
              <w:end w:w="120" w:type="dxa"/>
            </w:tcMar>
          </w:tcPr>
          <w:p>
            <w:r>
              <w:t>Meeting materials use mixed language about note/mortgage-style financing and deed-transfer-after-payoff structure; attorney review remains required regardless of approval-assumption mode.</w:t>
            </w:r>
          </w:p>
        </w:tc>
      </w:tr>
    </w:tbl>
    <w:p>
      <w:pPr>
        <w:spacing w:before="0" w:after="40" w:line="264" w:lineRule="auto"/>
      </w:pPr>
    </w:p>
    <w:p>
      <w:pPr>
        <w:pStyle w:val="Heading1"/>
        <w:keepNext/>
        <w:spacing w:before="320" w:after="160"/>
      </w:pPr>
      <w:r>
        <w:rPr>
          <w:rFonts w:ascii="Calibri" w:hAnsi="Calibri"/>
          <w:b/>
          <w:i w:val="0"/>
          <w:color w:val="2E74B5"/>
          <w:sz w:val="32"/>
        </w:rPr>
        <w:t>Screening Strengths</w:t>
      </w:r>
    </w:p>
    <w:p>
      <w:pPr>
        <w:pStyle w:val="ListBullet"/>
        <w:spacing w:after="140" w:line="280" w:lineRule="auto"/>
        <w:ind w:left="720" w:hanging="360"/>
      </w:pPr>
      <w:r>
        <w:rPr>
          <w:rFonts w:ascii="Calibri" w:hAnsi="Calibri"/>
          <w:b w:val="0"/>
          <w:i w:val="0"/>
          <w:color w:val="000000"/>
          <w:sz w:val="22"/>
        </w:rPr>
        <w:t>Identity is marked verified in the applicant details.</w:t>
      </w:r>
    </w:p>
    <w:p>
      <w:pPr>
        <w:pStyle w:val="ListBullet"/>
        <w:spacing w:after="140" w:line="280" w:lineRule="auto"/>
        <w:ind w:left="720" w:hanging="360"/>
      </w:pPr>
      <w:r>
        <w:rPr>
          <w:rFonts w:ascii="Calibri" w:hAnsi="Calibri"/>
          <w:b w:val="0"/>
          <w:i w:val="0"/>
          <w:color w:val="000000"/>
          <w:sz w:val="22"/>
        </w:rPr>
        <w:t>Credit report shows a 706 VantageScore 4.0 score.</w:t>
      </w:r>
    </w:p>
    <w:p>
      <w:pPr>
        <w:pStyle w:val="ListBullet"/>
        <w:spacing w:after="140" w:line="280" w:lineRule="auto"/>
        <w:ind w:left="720" w:hanging="360"/>
      </w:pPr>
      <w:r>
        <w:rPr>
          <w:rFonts w:ascii="Calibri" w:hAnsi="Calibri"/>
          <w:b w:val="0"/>
          <w:i w:val="0"/>
          <w:color w:val="000000"/>
          <w:sz w:val="22"/>
        </w:rPr>
        <w:t>Credit report shows 100% on-time payments, no collections, no delinquent or derogatory account, and no bankruptcies found.</w:t>
      </w:r>
    </w:p>
    <w:p>
      <w:pPr>
        <w:pStyle w:val="ListBullet"/>
        <w:spacing w:after="140" w:line="280" w:lineRule="auto"/>
        <w:ind w:left="720" w:hanging="360"/>
      </w:pPr>
      <w:r>
        <w:rPr>
          <w:rFonts w:ascii="Calibri" w:hAnsi="Calibri"/>
          <w:b w:val="0"/>
          <w:i w:val="0"/>
          <w:color w:val="000000"/>
          <w:sz w:val="22"/>
        </w:rPr>
        <w:t>Background check reports no housing court records and no criminal records.</w:t>
      </w:r>
    </w:p>
    <w:p>
      <w:pPr>
        <w:pStyle w:val="ListBullet"/>
        <w:spacing w:after="140" w:line="280" w:lineRule="auto"/>
        <w:ind w:left="720" w:hanging="360"/>
      </w:pPr>
      <w:r>
        <w:rPr>
          <w:rFonts w:ascii="Calibri" w:hAnsi="Calibri"/>
          <w:b w:val="0"/>
          <w:i w:val="0"/>
          <w:color w:val="000000"/>
          <w:sz w:val="22"/>
        </w:rPr>
        <w:t>Rent verification letter supports timely rent payments during the tenancy.</w:t>
      </w:r>
    </w:p>
    <w:p>
      <w:pPr>
        <w:pStyle w:val="Heading1"/>
        <w:keepNext/>
        <w:spacing w:before="320" w:after="160"/>
      </w:pPr>
      <w:r>
        <w:rPr>
          <w:rFonts w:ascii="Calibri" w:hAnsi="Calibri"/>
          <w:b/>
          <w:i w:val="0"/>
          <w:color w:val="2E74B5"/>
          <w:sz w:val="32"/>
        </w:rPr>
        <w:t>Ability-To-Repay Findings</w:t>
      </w:r>
    </w:p>
    <w:p>
      <w:pPr>
        <w:pStyle w:val="Heading2"/>
        <w:keepNext/>
        <w:spacing w:before="200" w:after="100"/>
      </w:pPr>
      <w:r>
        <w:rPr>
          <w:rFonts w:ascii="Calibri" w:hAnsi="Calibri"/>
          <w:b/>
          <w:i w:val="0"/>
          <w:color w:val="2E74B5"/>
          <w:sz w:val="26"/>
        </w:rPr>
        <w:t>Income And Business Cash Flow</w:t>
      </w:r>
    </w:p>
    <w:p>
      <w:pPr>
        <w:spacing w:before="0" w:after="120" w:line="264" w:lineRule="auto"/>
      </w:pPr>
      <w:r>
        <w:rPr>
          <w:rFonts w:ascii="Calibri" w:hAnsi="Calibri"/>
          <w:b w:val="0"/>
          <w:i w:val="0"/>
          <w:color w:val="000000"/>
          <w:sz w:val="22"/>
        </w:rPr>
        <w:t>Applicant details state self-employment income of $9,500/month. In this approval-assumption scenario, that income is treated as supported by adequate written explanations, owner-draw or compensation support, and/or a current Matthew Flooring LLC profit-and-loss statement. Gross business deposits are still not treated as income by themselves; the assumed approval result depends on a verified bridge from business activity to borrower-level net or available income.</w:t>
      </w:r>
    </w:p>
    <w:p>
      <w:r>
        <w:br w:type="page"/>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Business Statement Summary</w:t>
            </w:r>
          </w:p>
        </w:tc>
      </w:tr>
      <w:tr>
        <w:tc>
          <w:tcPr>
            <w:tcW w:type="dxa" w:w="4680"/>
            <w:shd w:fill="F2F4F7"/>
            <w:tcW w:w="2300" w:type="dxa"/>
            <w:vAlign w:val="center"/>
            <w:tcMar>
              <w:top w:w="80" w:type="dxa"/>
              <w:bottom w:w="80" w:type="dxa"/>
              <w:start w:w="120" w:type="dxa"/>
              <w:end w:w="120" w:type="dxa"/>
            </w:tcMar>
          </w:tcPr>
          <w:p>
            <w:r>
              <w:t>Unique business statements reviewed</w:t>
            </w:r>
          </w:p>
        </w:tc>
        <w:tc>
          <w:tcPr>
            <w:tcW w:type="dxa" w:w="4680"/>
            <w:tcW w:w="7060" w:type="dxa"/>
            <w:vAlign w:val="center"/>
            <w:tcMar>
              <w:top w:w="80" w:type="dxa"/>
              <w:bottom w:w="80" w:type="dxa"/>
              <w:start w:w="120" w:type="dxa"/>
              <w:end w:w="120" w:type="dxa"/>
            </w:tcMar>
          </w:tcPr>
          <w:p>
            <w:r>
              <w:t>16 unique statements; one August/September 2025 business statement appears duplicated or mislabeled.</w:t>
            </w:r>
          </w:p>
        </w:tc>
      </w:tr>
      <w:tr>
        <w:tc>
          <w:tcPr>
            <w:tcW w:type="dxa" w:w="4680"/>
            <w:shd w:fill="F2F4F7"/>
            <w:tcW w:w="2300" w:type="dxa"/>
            <w:vAlign w:val="center"/>
            <w:tcMar>
              <w:top w:w="80" w:type="dxa"/>
              <w:bottom w:w="80" w:type="dxa"/>
              <w:start w:w="120" w:type="dxa"/>
              <w:end w:w="120" w:type="dxa"/>
            </w:tcMar>
          </w:tcPr>
          <w:p>
            <w:r>
              <w:t>Business deposits/credits</w:t>
            </w:r>
          </w:p>
        </w:tc>
        <w:tc>
          <w:tcPr>
            <w:tcW w:type="dxa" w:w="4680"/>
            <w:tcW w:w="7060" w:type="dxa"/>
            <w:vAlign w:val="center"/>
            <w:tcMar>
              <w:top w:w="80" w:type="dxa"/>
              <w:bottom w:w="80" w:type="dxa"/>
              <w:start w:w="120" w:type="dxa"/>
              <w:end w:w="120" w:type="dxa"/>
            </w:tcMar>
          </w:tcPr>
          <w:p>
            <w:r>
              <w:t>$434,462.90 total; $27,153.93 average per month.</w:t>
            </w:r>
          </w:p>
        </w:tc>
      </w:tr>
      <w:tr>
        <w:tc>
          <w:tcPr>
            <w:tcW w:type="dxa" w:w="4680"/>
            <w:shd w:fill="F2F4F7"/>
            <w:tcW w:w="2300" w:type="dxa"/>
            <w:vAlign w:val="center"/>
            <w:tcMar>
              <w:top w:w="80" w:type="dxa"/>
              <w:bottom w:w="80" w:type="dxa"/>
              <w:start w:w="120" w:type="dxa"/>
              <w:end w:w="120" w:type="dxa"/>
            </w:tcMar>
          </w:tcPr>
          <w:p>
            <w:r>
              <w:t>Business withdrawals/debits</w:t>
            </w:r>
          </w:p>
        </w:tc>
        <w:tc>
          <w:tcPr>
            <w:tcW w:type="dxa" w:w="4680"/>
            <w:tcW w:w="7060" w:type="dxa"/>
            <w:vAlign w:val="center"/>
            <w:tcMar>
              <w:top w:w="80" w:type="dxa"/>
              <w:bottom w:w="80" w:type="dxa"/>
              <w:start w:w="120" w:type="dxa"/>
              <w:end w:w="120" w:type="dxa"/>
            </w:tcMar>
          </w:tcPr>
          <w:p>
            <w:r>
              <w:t>$433,300.52 total; $27,081.28 average per month.</w:t>
            </w:r>
          </w:p>
        </w:tc>
      </w:tr>
      <w:tr>
        <w:tc>
          <w:tcPr>
            <w:tcW w:type="dxa" w:w="4680"/>
            <w:shd w:fill="F2F4F7"/>
            <w:tcW w:w="2300" w:type="dxa"/>
            <w:vAlign w:val="center"/>
            <w:tcMar>
              <w:top w:w="80" w:type="dxa"/>
              <w:bottom w:w="80" w:type="dxa"/>
              <w:start w:w="120" w:type="dxa"/>
              <w:end w:w="120" w:type="dxa"/>
            </w:tcMar>
          </w:tcPr>
          <w:p>
            <w:r>
              <w:t>Average monthly net account increase</w:t>
            </w:r>
          </w:p>
        </w:tc>
        <w:tc>
          <w:tcPr>
            <w:tcW w:type="dxa" w:w="4680"/>
            <w:tcW w:w="7060" w:type="dxa"/>
            <w:vAlign w:val="center"/>
            <w:tcMar>
              <w:top w:w="80" w:type="dxa"/>
              <w:bottom w:w="80" w:type="dxa"/>
              <w:start w:w="120" w:type="dxa"/>
              <w:end w:w="120" w:type="dxa"/>
            </w:tcMar>
          </w:tcPr>
          <w:p>
            <w:r>
              <w:t>$72.65 across the unique business statement set before applying any verified owner-draw, add-back, reimbursement, or P&amp;L adjustments.</w:t>
            </w:r>
          </w:p>
        </w:tc>
      </w:tr>
      <w:tr>
        <w:tc>
          <w:tcPr>
            <w:tcW w:type="dxa" w:w="4680"/>
            <w:shd w:fill="F2F4F7"/>
            <w:tcW w:w="2300" w:type="dxa"/>
            <w:vAlign w:val="center"/>
            <w:tcMar>
              <w:top w:w="80" w:type="dxa"/>
              <w:bottom w:w="80" w:type="dxa"/>
              <w:start w:w="120" w:type="dxa"/>
              <w:end w:w="120" w:type="dxa"/>
            </w:tcMar>
          </w:tcPr>
          <w:p>
            <w:r>
              <w:t>2026 business average deposits</w:t>
            </w:r>
          </w:p>
        </w:tc>
        <w:tc>
          <w:tcPr>
            <w:tcW w:type="dxa" w:w="4680"/>
            <w:tcW w:w="7060" w:type="dxa"/>
            <w:vAlign w:val="center"/>
            <w:tcMar>
              <w:top w:w="80" w:type="dxa"/>
              <w:bottom w:w="80" w:type="dxa"/>
              <w:start w:w="120" w:type="dxa"/>
              <w:end w:w="120" w:type="dxa"/>
            </w:tcMar>
          </w:tcPr>
          <w:p>
            <w:r>
              <w:t>$24,631.93/month from January through May 2026.</w:t>
            </w:r>
          </w:p>
        </w:tc>
      </w:tr>
      <w:tr>
        <w:tc>
          <w:tcPr>
            <w:tcW w:type="dxa" w:w="4680"/>
            <w:shd w:fill="F2F4F7"/>
            <w:tcW w:w="2300" w:type="dxa"/>
            <w:vAlign w:val="center"/>
            <w:tcMar>
              <w:top w:w="80" w:type="dxa"/>
              <w:bottom w:w="80" w:type="dxa"/>
              <w:start w:w="120" w:type="dxa"/>
              <w:end w:w="120" w:type="dxa"/>
            </w:tcMar>
          </w:tcPr>
          <w:p>
            <w:r>
              <w:t>2026 business average net increase</w:t>
            </w:r>
          </w:p>
        </w:tc>
        <w:tc>
          <w:tcPr>
            <w:tcW w:type="dxa" w:w="4680"/>
            <w:tcW w:w="7060" w:type="dxa"/>
            <w:vAlign w:val="center"/>
            <w:tcMar>
              <w:top w:w="80" w:type="dxa"/>
              <w:bottom w:w="80" w:type="dxa"/>
              <w:start w:w="120" w:type="dxa"/>
              <w:end w:w="120" w:type="dxa"/>
            </w:tcMar>
          </w:tcPr>
          <w:p>
            <w:r>
              <w:t>$528.82/month from January through May 2026.</w:t>
            </w:r>
          </w:p>
        </w:tc>
      </w:tr>
      <w:tr>
        <w:tc>
          <w:tcPr>
            <w:tcW w:type="dxa" w:w="4680"/>
            <w:shd w:fill="F2F4F7"/>
            <w:tcW w:w="2300" w:type="dxa"/>
            <w:vAlign w:val="center"/>
            <w:tcMar>
              <w:top w:w="80" w:type="dxa"/>
              <w:bottom w:w="80" w:type="dxa"/>
              <w:start w:w="120" w:type="dxa"/>
              <w:end w:w="120" w:type="dxa"/>
            </w:tcMar>
          </w:tcPr>
          <w:p>
            <w:r>
              <w:t>Latest business ending balance</w:t>
            </w:r>
          </w:p>
        </w:tc>
        <w:tc>
          <w:tcPr>
            <w:tcW w:type="dxa" w:w="4680"/>
            <w:tcW w:w="7060" w:type="dxa"/>
            <w:vAlign w:val="center"/>
            <w:tcMar>
              <w:top w:w="80" w:type="dxa"/>
              <w:bottom w:w="80" w:type="dxa"/>
              <w:start w:w="120" w:type="dxa"/>
              <w:end w:w="120" w:type="dxa"/>
            </w:tcMar>
          </w:tcPr>
          <w:p>
            <w:r>
              <w:t>$5,058.11 on the May 31, 2026 statement; this does not by itself prove cash to close or reserves.</w:t>
            </w:r>
          </w:p>
        </w:tc>
      </w:tr>
    </w:tbl>
    <w:p>
      <w:pPr>
        <w:spacing w:before="0" w:after="40" w:line="264" w:lineRule="auto"/>
      </w:pPr>
    </w:p>
    <w:p>
      <w:pPr>
        <w:pStyle w:val="Heading2"/>
        <w:keepNext/>
        <w:spacing w:before="200" w:after="100"/>
      </w:pPr>
      <w:r>
        <w:rPr>
          <w:rFonts w:ascii="Calibri" w:hAnsi="Calibri"/>
          <w:b/>
          <w:i w:val="0"/>
          <w:color w:val="2E74B5"/>
          <w:sz w:val="26"/>
        </w:rPr>
        <w:t>Debt Burden</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Credit Report Debt Summary</w:t>
            </w:r>
          </w:p>
        </w:tc>
      </w:tr>
      <w:tr>
        <w:tc>
          <w:tcPr>
            <w:tcW w:type="dxa" w:w="4680"/>
            <w:shd w:fill="F2F4F7"/>
            <w:tcW w:w="2300" w:type="dxa"/>
            <w:vAlign w:val="center"/>
            <w:tcMar>
              <w:top w:w="80" w:type="dxa"/>
              <w:bottom w:w="80" w:type="dxa"/>
              <w:start w:w="120" w:type="dxa"/>
              <w:end w:w="120" w:type="dxa"/>
            </w:tcMar>
          </w:tcPr>
          <w:p>
            <w:r>
              <w:t>Estimated monthly debt payments</w:t>
            </w:r>
          </w:p>
        </w:tc>
        <w:tc>
          <w:tcPr>
            <w:tcW w:type="dxa" w:w="4680"/>
            <w:tcW w:w="7060" w:type="dxa"/>
            <w:vAlign w:val="center"/>
            <w:tcMar>
              <w:top w:w="80" w:type="dxa"/>
              <w:bottom w:w="80" w:type="dxa"/>
              <w:start w:w="120" w:type="dxa"/>
              <w:end w:w="120" w:type="dxa"/>
            </w:tcMar>
          </w:tcPr>
          <w:p>
            <w:r>
              <w:t>$2,162</w:t>
            </w:r>
          </w:p>
        </w:tc>
      </w:tr>
      <w:tr>
        <w:tc>
          <w:tcPr>
            <w:tcW w:type="dxa" w:w="4680"/>
            <w:shd w:fill="F2F4F7"/>
            <w:tcW w:w="2300" w:type="dxa"/>
            <w:vAlign w:val="center"/>
            <w:tcMar>
              <w:top w:w="80" w:type="dxa"/>
              <w:bottom w:w="80" w:type="dxa"/>
              <w:start w:w="120" w:type="dxa"/>
              <w:end w:w="120" w:type="dxa"/>
            </w:tcMar>
          </w:tcPr>
          <w:p>
            <w:r>
              <w:t>Total debt</w:t>
            </w:r>
          </w:p>
        </w:tc>
        <w:tc>
          <w:tcPr>
            <w:tcW w:type="dxa" w:w="4680"/>
            <w:tcW w:w="7060" w:type="dxa"/>
            <w:vAlign w:val="center"/>
            <w:tcMar>
              <w:top w:w="80" w:type="dxa"/>
              <w:bottom w:w="80" w:type="dxa"/>
              <w:start w:w="120" w:type="dxa"/>
              <w:end w:w="120" w:type="dxa"/>
            </w:tcMar>
          </w:tcPr>
          <w:p>
            <w:r>
              <w:t>$86,790</w:t>
            </w:r>
          </w:p>
        </w:tc>
      </w:tr>
      <w:tr>
        <w:tc>
          <w:tcPr>
            <w:tcW w:type="dxa" w:w="4680"/>
            <w:shd w:fill="F2F4F7"/>
            <w:tcW w:w="2300" w:type="dxa"/>
            <w:vAlign w:val="center"/>
            <w:tcMar>
              <w:top w:w="80" w:type="dxa"/>
              <w:bottom w:w="80" w:type="dxa"/>
              <w:start w:w="120" w:type="dxa"/>
              <w:end w:w="120" w:type="dxa"/>
            </w:tcMar>
          </w:tcPr>
          <w:p>
            <w:r>
              <w:t>Open auto-loan balances</w:t>
            </w:r>
          </w:p>
        </w:tc>
        <w:tc>
          <w:tcPr>
            <w:tcW w:type="dxa" w:w="4680"/>
            <w:tcW w:w="7060" w:type="dxa"/>
            <w:vAlign w:val="center"/>
            <w:tcMar>
              <w:top w:w="80" w:type="dxa"/>
              <w:bottom w:w="80" w:type="dxa"/>
              <w:start w:w="120" w:type="dxa"/>
              <w:end w:w="120" w:type="dxa"/>
            </w:tcMar>
          </w:tcPr>
          <w:p>
            <w:r>
              <w:t>$16,536; $19,112; $22,864; $28,278</w:t>
            </w:r>
          </w:p>
        </w:tc>
      </w:tr>
      <w:tr>
        <w:tc>
          <w:tcPr>
            <w:tcW w:type="dxa" w:w="4680"/>
            <w:shd w:fill="F2F4F7"/>
            <w:tcW w:w="2300" w:type="dxa"/>
            <w:vAlign w:val="center"/>
            <w:tcMar>
              <w:top w:w="80" w:type="dxa"/>
              <w:bottom w:w="80" w:type="dxa"/>
              <w:start w:w="120" w:type="dxa"/>
              <w:end w:w="120" w:type="dxa"/>
            </w:tcMar>
          </w:tcPr>
          <w:p>
            <w:r>
              <w:t>Credit-card balance shown</w:t>
            </w:r>
          </w:p>
        </w:tc>
        <w:tc>
          <w:tcPr>
            <w:tcW w:type="dxa" w:w="4680"/>
            <w:tcW w:w="7060" w:type="dxa"/>
            <w:vAlign w:val="center"/>
            <w:tcMar>
              <w:top w:w="80" w:type="dxa"/>
              <w:bottom w:w="80" w:type="dxa"/>
              <w:start w:w="120" w:type="dxa"/>
              <w:end w:w="120" w:type="dxa"/>
            </w:tcMar>
          </w:tcPr>
          <w:p>
            <w:r>
              <w:t>$0 on Capital One account</w:t>
            </w:r>
          </w:p>
        </w:tc>
      </w:tr>
    </w:tbl>
    <w:p>
      <w:pPr>
        <w:spacing w:before="0" w:after="40" w:line="264" w:lineRule="auto"/>
      </w:pPr>
    </w:p>
    <w:p>
      <w:r>
        <w:br w:type="page"/>
      </w:r>
    </w:p>
    <w:p>
      <w:pPr>
        <w:pStyle w:val="Heading2"/>
        <w:keepNext/>
        <w:spacing w:before="200" w:after="100"/>
      </w:pPr>
      <w:r>
        <w:rPr>
          <w:rFonts w:ascii="Calibri" w:hAnsi="Calibri"/>
          <w:b/>
          <w:i w:val="0"/>
          <w:color w:val="2E74B5"/>
          <w:sz w:val="26"/>
        </w:rPr>
        <w:t>Payment Ratios</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Ratio Test</w:t>
            </w:r>
          </w:p>
        </w:tc>
      </w:tr>
      <w:tr>
        <w:tc>
          <w:tcPr>
            <w:tcW w:type="dxa" w:w="4680"/>
            <w:shd w:fill="F2F4F7"/>
            <w:tcW w:w="2300" w:type="dxa"/>
            <w:vAlign w:val="center"/>
            <w:tcMar>
              <w:top w:w="80" w:type="dxa"/>
              <w:bottom w:w="80" w:type="dxa"/>
              <w:start w:w="120" w:type="dxa"/>
              <w:end w:w="120" w:type="dxa"/>
            </w:tcMar>
          </w:tcPr>
          <w:p>
            <w:r>
              <w:t>Housing ratio using stated income</w:t>
            </w:r>
          </w:p>
        </w:tc>
        <w:tc>
          <w:tcPr>
            <w:tcW w:type="dxa" w:w="4680"/>
            <w:tcW w:w="7060" w:type="dxa"/>
            <w:vAlign w:val="center"/>
            <w:tcMar>
              <w:top w:w="80" w:type="dxa"/>
              <w:bottom w:w="80" w:type="dxa"/>
              <w:start w:w="120" w:type="dxa"/>
              <w:end w:w="120" w:type="dxa"/>
            </w:tcMar>
          </w:tcPr>
          <w:p>
            <w:r>
              <w:t>$2,701 / $9,500 = 28.4%</w:t>
            </w:r>
          </w:p>
        </w:tc>
      </w:tr>
      <w:tr>
        <w:tc>
          <w:tcPr>
            <w:tcW w:type="dxa" w:w="4680"/>
            <w:shd w:fill="F2F4F7"/>
            <w:tcW w:w="2300" w:type="dxa"/>
            <w:vAlign w:val="center"/>
            <w:tcMar>
              <w:top w:w="80" w:type="dxa"/>
              <w:bottom w:w="80" w:type="dxa"/>
              <w:start w:w="120" w:type="dxa"/>
              <w:end w:w="120" w:type="dxa"/>
            </w:tcMar>
          </w:tcPr>
          <w:p>
            <w:r>
              <w:t>Back-end ratio using stated income</w:t>
            </w:r>
          </w:p>
        </w:tc>
        <w:tc>
          <w:tcPr>
            <w:tcW w:type="dxa" w:w="4680"/>
            <w:tcW w:w="7060" w:type="dxa"/>
            <w:vAlign w:val="center"/>
            <w:tcMar>
              <w:top w:w="80" w:type="dxa"/>
              <w:bottom w:w="80" w:type="dxa"/>
              <w:start w:w="120" w:type="dxa"/>
              <w:end w:w="120" w:type="dxa"/>
            </w:tcMar>
          </w:tcPr>
          <w:p>
            <w:r>
              <w:t>($2,701 + $2,162) / $9,500 = 51.2%</w:t>
            </w:r>
          </w:p>
        </w:tc>
      </w:tr>
      <w:tr>
        <w:tc>
          <w:tcPr>
            <w:tcW w:type="dxa" w:w="4680"/>
            <w:shd w:fill="F2F4F7"/>
            <w:tcW w:w="2300" w:type="dxa"/>
            <w:vAlign w:val="center"/>
            <w:tcMar>
              <w:top w:w="80" w:type="dxa"/>
              <w:bottom w:w="80" w:type="dxa"/>
              <w:start w:w="120" w:type="dxa"/>
              <w:end w:w="120" w:type="dxa"/>
            </w:tcMar>
          </w:tcPr>
          <w:p>
            <w:r>
              <w:t>Underwriting interpretation</w:t>
            </w:r>
          </w:p>
        </w:tc>
        <w:tc>
          <w:tcPr>
            <w:tcW w:type="dxa" w:w="4680"/>
            <w:tcW w:w="7060" w:type="dxa"/>
            <w:vAlign w:val="center"/>
            <w:tcMar>
              <w:top w:w="80" w:type="dxa"/>
              <w:bottom w:w="80" w:type="dxa"/>
              <w:start w:w="120" w:type="dxa"/>
              <w:end w:w="120" w:type="dxa"/>
            </w:tcMar>
          </w:tcPr>
          <w:p>
            <w:r>
              <w:t>With the assumed verified $9,500/month borrower-level income, the housing ratio is acceptable, but the 51.2% back-end ratio remains high. Conditional approval is supportable only with strong documented compensating factors and proof of cash to close/reserves.</w:t>
            </w:r>
          </w:p>
        </w:tc>
      </w:tr>
    </w:tbl>
    <w:p>
      <w:pPr>
        <w:spacing w:before="0" w:after="40" w:line="264" w:lineRule="auto"/>
      </w:pPr>
    </w:p>
    <w:p>
      <w:pPr>
        <w:pStyle w:val="Heading2"/>
        <w:keepNext/>
        <w:spacing w:before="200" w:after="100"/>
      </w:pPr>
      <w:r>
        <w:rPr>
          <w:rFonts w:ascii="Calibri" w:hAnsi="Calibri"/>
          <w:b/>
          <w:i w:val="0"/>
          <w:color w:val="2E74B5"/>
          <w:sz w:val="26"/>
        </w:rPr>
        <w:t>Cash To Close And Reserves</w:t>
      </w:r>
    </w:p>
    <w:p>
      <w:pPr>
        <w:spacing w:before="0" w:after="120" w:line="264" w:lineRule="auto"/>
      </w:pPr>
      <w:r>
        <w:rPr>
          <w:rFonts w:ascii="Calibri" w:hAnsi="Calibri"/>
          <w:b w:val="0"/>
          <w:i w:val="0"/>
          <w:color w:val="000000"/>
          <w:sz w:val="22"/>
        </w:rPr>
        <w:t>The existing bank balances still do not independently prove cash to close. The latest business statement ending balance is $5,058.11 and the latest provided personal statement ending balance is $503.73. Final approval should still require proof of the $6,000 earnest money, $20,790 total down payment, closing funds, and post-closing reserves.</w:t>
      </w:r>
    </w:p>
    <w:p>
      <w:pPr>
        <w:pStyle w:val="Heading1"/>
        <w:keepNext/>
        <w:spacing w:before="320" w:after="160"/>
      </w:pPr>
      <w:r>
        <w:rPr>
          <w:rFonts w:ascii="Calibri" w:hAnsi="Calibri"/>
          <w:b/>
          <w:i w:val="0"/>
          <w:color w:val="2E74B5"/>
          <w:sz w:val="32"/>
        </w:rPr>
        <w:t>Decision</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Conditional Approval Supportable Under Stated Assumptions</w:t>
              <w:br/>
              <w:t>If Ever provides the assumed satisfactory withdrawal explanations, profit-and-loss support, owner-draw or compensation records, and verification that at least $9,500/month is available as borrower-level income, the file can support conditional approval for continued contract preparation and attorney/compliance review. This is not an unconditional final approval. Remaining conditions include proof of down payment, earnest money, closing funds, reserves, current personal statements, debt confirmation, final payment structure, legal-name confirmation, and legal/compliance review. If the assumptions are not proven by actual documents, gross business deposits should not be used as income and the prior do-not-approve recommendation remains controlling.</w:t>
            </w:r>
          </w:p>
        </w:tc>
      </w:tr>
    </w:tbl>
    <w:p>
      <w:pPr>
        <w:spacing w:before="0" w:after="40" w:line="264" w:lineRule="auto"/>
      </w:pPr>
    </w:p>
    <w:p>
      <w:pPr>
        <w:pStyle w:val="Heading1"/>
        <w:keepNext/>
        <w:spacing w:before="320" w:after="160"/>
      </w:pPr>
      <w:r>
        <w:rPr>
          <w:rFonts w:ascii="Calibri" w:hAnsi="Calibri"/>
          <w:b/>
          <w:i w:val="0"/>
          <w:color w:val="2E74B5"/>
          <w:sz w:val="32"/>
        </w:rPr>
        <w:t>Conditions Required Before Final Approval</w:t>
      </w:r>
    </w:p>
    <w:p>
      <w:pPr>
        <w:pStyle w:val="ListNumber"/>
        <w:spacing w:after="140" w:line="280" w:lineRule="auto"/>
        <w:ind w:left="720" w:hanging="360"/>
      </w:pPr>
      <w:r>
        <w:rPr>
          <w:rFonts w:ascii="Calibri" w:hAnsi="Calibri"/>
          <w:b w:val="0"/>
          <w:i w:val="0"/>
          <w:color w:val="000000"/>
          <w:sz w:val="22"/>
        </w:rPr>
        <w:t>Legal name and ID for each buyer or obligor.</w:t>
      </w:r>
    </w:p>
    <w:p>
      <w:pPr>
        <w:pStyle w:val="ListNumber"/>
        <w:spacing w:after="140" w:line="280" w:lineRule="auto"/>
        <w:ind w:left="720" w:hanging="360"/>
      </w:pPr>
      <w:r>
        <w:rPr>
          <w:rFonts w:ascii="Calibri" w:hAnsi="Calibri"/>
          <w:b w:val="0"/>
          <w:i w:val="0"/>
          <w:color w:val="000000"/>
          <w:sz w:val="22"/>
        </w:rPr>
        <w:t>Current 2026 personal bank statements through the application or closing-review month.</w:t>
      </w:r>
    </w:p>
    <w:p>
      <w:pPr>
        <w:pStyle w:val="ListNumber"/>
        <w:spacing w:after="140" w:line="280" w:lineRule="auto"/>
        <w:ind w:left="720" w:hanging="360"/>
      </w:pPr>
      <w:r>
        <w:rPr>
          <w:rFonts w:ascii="Calibri" w:hAnsi="Calibri"/>
          <w:b w:val="0"/>
          <w:i w:val="0"/>
          <w:color w:val="000000"/>
          <w:sz w:val="22"/>
        </w:rPr>
        <w:t>Actual written explanations, profit-and-loss statement, accountant confirmation, owner-draw records, payroll/compensation records, or other support used to verify at least $9,500/month of borrower-level net or available income.</w:t>
      </w:r>
    </w:p>
    <w:p>
      <w:pPr>
        <w:pStyle w:val="ListNumber"/>
        <w:spacing w:after="140" w:line="280" w:lineRule="auto"/>
        <w:ind w:left="720" w:hanging="360"/>
      </w:pPr>
      <w:r>
        <w:rPr>
          <w:rFonts w:ascii="Calibri" w:hAnsi="Calibri"/>
          <w:b w:val="0"/>
          <w:i w:val="0"/>
          <w:color w:val="000000"/>
          <w:sz w:val="22"/>
        </w:rPr>
        <w:t>Explanation of Ever's ownership, officer role, or compensation relationship with Matthew Flooring LLC.</w:t>
      </w:r>
    </w:p>
    <w:p>
      <w:pPr>
        <w:pStyle w:val="ListNumber"/>
        <w:spacing w:after="140" w:line="280" w:lineRule="auto"/>
        <w:ind w:left="720" w:hanging="360"/>
      </w:pPr>
      <w:r>
        <w:rPr>
          <w:rFonts w:ascii="Calibri" w:hAnsi="Calibri"/>
          <w:b w:val="0"/>
          <w:i w:val="0"/>
          <w:color w:val="000000"/>
          <w:sz w:val="22"/>
        </w:rPr>
        <w:t>Documentation for major Zelle transfers, ATM cash withdrawals, and any mixed business/personal expenses that are being treated as add-backs, owner draws, reimbursed expenses, or nonrecurring items.</w:t>
      </w:r>
    </w:p>
    <w:p>
      <w:pPr>
        <w:pStyle w:val="ListNumber"/>
        <w:spacing w:after="140" w:line="280" w:lineRule="auto"/>
        <w:ind w:left="720" w:hanging="360"/>
      </w:pPr>
      <w:r>
        <w:rPr>
          <w:rFonts w:ascii="Calibri" w:hAnsi="Calibri"/>
          <w:b w:val="0"/>
          <w:i w:val="0"/>
          <w:color w:val="000000"/>
          <w:sz w:val="22"/>
        </w:rPr>
        <w:t>Current debt obligations and monthly payments, including whether the auto loans will remain after closing.</w:t>
      </w:r>
    </w:p>
    <w:p>
      <w:pPr>
        <w:pStyle w:val="ListNumber"/>
        <w:spacing w:after="140" w:line="280" w:lineRule="auto"/>
        <w:ind w:left="720" w:hanging="360"/>
      </w:pPr>
      <w:r>
        <w:rPr>
          <w:rFonts w:ascii="Calibri" w:hAnsi="Calibri"/>
          <w:b w:val="0"/>
          <w:i w:val="0"/>
          <w:color w:val="000000"/>
          <w:sz w:val="22"/>
        </w:rPr>
        <w:t>Proof of down payment, earnest money source, closing funds, and reserves.</w:t>
      </w:r>
    </w:p>
    <w:p>
      <w:pPr>
        <w:pStyle w:val="ListNumber"/>
        <w:spacing w:after="140" w:line="280" w:lineRule="auto"/>
        <w:ind w:left="720" w:hanging="360"/>
      </w:pPr>
      <w:r>
        <w:rPr>
          <w:rFonts w:ascii="Calibri" w:hAnsi="Calibri"/>
          <w:b w:val="0"/>
          <w:i w:val="0"/>
          <w:color w:val="000000"/>
          <w:sz w:val="22"/>
        </w:rPr>
        <w:t>Final proposed payment schedule and escrow breakdown.</w:t>
      </w:r>
    </w:p>
    <w:p>
      <w:pPr>
        <w:pStyle w:val="ListNumber"/>
        <w:spacing w:after="140" w:line="280" w:lineRule="auto"/>
        <w:ind w:left="720" w:hanging="360"/>
      </w:pPr>
      <w:r>
        <w:rPr>
          <w:rFonts w:ascii="Calibri" w:hAnsi="Calibri"/>
          <w:b w:val="0"/>
          <w:i w:val="0"/>
          <w:color w:val="000000"/>
          <w:sz w:val="22"/>
        </w:rPr>
        <w:t>Attorney review of seller-financing compliance and any adverse-action or conditional-approval notice requirements.</w:t>
      </w:r>
    </w:p>
    <w:p>
      <w:pPr>
        <w:pStyle w:val="Heading1"/>
        <w:keepNext/>
        <w:spacing w:before="320" w:after="160"/>
      </w:pPr>
      <w:r>
        <w:rPr>
          <w:rFonts w:ascii="Calibri" w:hAnsi="Calibri"/>
          <w:b/>
          <w:i w:val="0"/>
          <w:color w:val="2E74B5"/>
          <w:sz w:val="32"/>
        </w:rPr>
        <w:t>Compliance And Use Limitations</w:t>
      </w:r>
    </w:p>
    <w:p>
      <w:pPr>
        <w:pStyle w:val="ListBullet"/>
        <w:spacing w:after="140" w:line="280" w:lineRule="auto"/>
        <w:ind w:left="720" w:hanging="360"/>
      </w:pPr>
      <w:r>
        <w:rPr>
          <w:rFonts w:ascii="Calibri" w:hAnsi="Calibri"/>
          <w:b w:val="0"/>
          <w:i w:val="0"/>
          <w:color w:val="000000"/>
          <w:sz w:val="22"/>
        </w:rPr>
        <w:t>This report is a preliminary business and file-completeness review, not legal advice.</w:t>
      </w:r>
    </w:p>
    <w:p>
      <w:pPr>
        <w:pStyle w:val="ListBullet"/>
        <w:spacing w:after="140" w:line="280" w:lineRule="auto"/>
        <w:ind w:left="720" w:hanging="360"/>
      </w:pPr>
      <w:r>
        <w:rPr>
          <w:rFonts w:ascii="Calibri" w:hAnsi="Calibri"/>
          <w:b w:val="0"/>
          <w:i w:val="0"/>
          <w:color w:val="000000"/>
          <w:sz w:val="22"/>
        </w:rPr>
        <w:t>Attorney review remains required for seller-financer, Dodd-Frank, Regulation Z, North Carolina law, and adverse-action notice questions.</w:t>
      </w:r>
    </w:p>
    <w:p>
      <w:pPr>
        <w:pStyle w:val="ListBullet"/>
        <w:spacing w:after="140" w:line="280" w:lineRule="auto"/>
        <w:ind w:left="720" w:hanging="360"/>
      </w:pPr>
      <w:r>
        <w:rPr>
          <w:rFonts w:ascii="Calibri" w:hAnsi="Calibri"/>
          <w:b w:val="0"/>
          <w:i w:val="0"/>
          <w:color w:val="000000"/>
          <w:sz w:val="22"/>
        </w:rPr>
        <w:t>If the buyer is declined or approved only with changed terms, counsel should confirm whether Equal Credit Opportunity Act or Fair Credit Reporting Act notices are required.</w:t>
      </w:r>
    </w:p>
    <w:p>
      <w:pPr>
        <w:pStyle w:val="ListBullet"/>
        <w:spacing w:after="140" w:line="280" w:lineRule="auto"/>
        <w:ind w:left="720" w:hanging="360"/>
      </w:pPr>
      <w:r>
        <w:rPr>
          <w:rFonts w:ascii="Calibri" w:hAnsi="Calibri"/>
          <w:b w:val="0"/>
          <w:i w:val="0"/>
          <w:color w:val="000000"/>
          <w:sz w:val="22"/>
        </w:rPr>
        <w:t>Any final approval should be documented with the actual support used for the approval-assumption mode and a fresh ability-to-repay worksheet using verified net income and reserve evidence.</w:t>
      </w:r>
    </w:p>
    <w:p>
      <w:pPr>
        <w:pStyle w:val="Heading1"/>
        <w:keepNext/>
        <w:spacing w:before="320" w:after="160"/>
      </w:pPr>
      <w:r>
        <w:rPr>
          <w:rFonts w:ascii="Calibri" w:hAnsi="Calibri"/>
          <w:b/>
          <w:i w:val="0"/>
          <w:color w:val="2E74B5"/>
          <w:sz w:val="32"/>
        </w:rPr>
        <w:t>Prepared By</w:t>
      </w:r>
    </w:p>
    <w:p>
      <w:pPr>
        <w:spacing w:before="0" w:after="120" w:line="264" w:lineRule="auto"/>
      </w:pPr>
      <w:r>
        <w:rPr>
          <w:rFonts w:ascii="Calibri" w:hAnsi="Calibri"/>
          <w:b/>
          <w:i w:val="0"/>
          <w:color w:val="000000"/>
          <w:sz w:val="22"/>
        </w:rPr>
        <w:t>Investment Services, LLC</w:t>
      </w:r>
    </w:p>
    <w:p>
      <w:pPr>
        <w:spacing w:before="0" w:after="120" w:line="264" w:lineRule="auto"/>
      </w:pPr>
      <w:r>
        <w:rPr>
          <w:rFonts w:ascii="Calibri" w:hAnsi="Calibri"/>
          <w:b w:val="0"/>
          <w:i w:val="0"/>
          <w:color w:val="000000"/>
          <w:sz w:val="22"/>
        </w:rPr>
        <w:t>For Sell Your Home review and attorney/compliance follow-up.</w:t>
      </w:r>
    </w:p>
    <w:p>
      <w:r>
        <w:br w:type="page"/>
      </w:r>
    </w:p>
    <w:p>
      <w:pPr>
        <w:jc w:val="center"/>
      </w:pPr>
      <w:r>
        <w:rPr>
          <w:b/>
          <w:i w:val="0"/>
          <w:color w:val="0B2545"/>
          <w:sz w:val="36"/>
        </w:rPr>
        <w:t>COPIA EN ESPA?OL</w:t>
      </w:r>
    </w:p>
    <w:p>
      <w:r>
        <w:rPr>
          <w:b w:val="0"/>
          <w:i/>
        </w:rPr>
        <w:t>Nota de traducci?n: Esta copia en espa?ol se proporciona para conveniencia. El informe en ingl?s controla si existe alg?n conflicto, salvo instrucci?n contraria de Sell Your Home.</w:t>
      </w:r>
    </w:p>
    <w:p>
      <w:r>
        <w:rPr>
          <w:b/>
          <w:i w:val="0"/>
          <w:color w:val="0B2545"/>
          <w:sz w:val="32"/>
        </w:rPr>
        <w:t>INFORME ACTUALIZADO DE EVALUACI?N DE SOLVENCIA CREDITICIA</w:t>
      </w:r>
    </w:p>
    <w:p>
      <w:r>
        <w:rPr>
          <w:b w:val="0"/>
          <w:i/>
        </w:rPr>
        <w:t>Escenario de aprobaci?n con supuestos para Ever Amarildo Cardoza - 320 Rose Pl / Rose Place</w:t>
      </w:r>
    </w:p>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Preparado por</w:t>
            </w:r>
          </w:p>
        </w:tc>
        <w:tc>
          <w:tcPr>
            <w:tcW w:type="dxa" w:w="4680"/>
            <w:vAlign w:val="center"/>
          </w:tcPr>
          <w:p>
            <w:r>
              <w:rPr>
                <w:rFonts w:ascii="Calibri" w:hAnsi="Calibri" w:eastAsia="Calibri"/>
                <w:sz w:val="20"/>
              </w:rPr>
              <w:t>Investment Services, LLC</w:t>
            </w:r>
          </w:p>
        </w:tc>
      </w:tr>
      <w:tr>
        <w:tc>
          <w:tcPr>
            <w:tcW w:type="dxa" w:w="4680"/>
            <w:vAlign w:val="center"/>
          </w:tcPr>
          <w:p>
            <w:r>
              <w:rPr>
                <w:rFonts w:ascii="Calibri" w:hAnsi="Calibri" w:eastAsia="Calibri"/>
                <w:b/>
                <w:sz w:val="20"/>
              </w:rPr>
              <w:t>Fecha del informe</w:t>
            </w:r>
          </w:p>
        </w:tc>
        <w:tc>
          <w:tcPr>
            <w:tcW w:type="dxa" w:w="4680"/>
            <w:vAlign w:val="center"/>
          </w:tcPr>
          <w:p>
            <w:r>
              <w:rPr>
                <w:rFonts w:ascii="Calibri" w:hAnsi="Calibri" w:eastAsia="Calibri"/>
                <w:sz w:val="20"/>
              </w:rPr>
              <w:t>5 de junio de 2026</w:t>
            </w:r>
          </w:p>
        </w:tc>
      </w:tr>
      <w:tr>
        <w:tc>
          <w:tcPr>
            <w:tcW w:type="dxa" w:w="4680"/>
            <w:vAlign w:val="center"/>
          </w:tcPr>
          <w:p>
            <w:r>
              <w:rPr>
                <w:rFonts w:ascii="Calibri" w:hAnsi="Calibri" w:eastAsia="Calibri"/>
                <w:b/>
                <w:sz w:val="20"/>
              </w:rPr>
              <w:t>Comprador evaluado</w:t>
            </w:r>
          </w:p>
        </w:tc>
        <w:tc>
          <w:tcPr>
            <w:tcW w:type="dxa" w:w="4680"/>
            <w:vAlign w:val="center"/>
          </w:tcPr>
          <w:p>
            <w:r>
              <w:rPr>
                <w:rFonts w:ascii="Calibri" w:hAnsi="Calibri" w:eastAsia="Calibri"/>
                <w:sz w:val="20"/>
              </w:rPr>
              <w:t>Ever Amarildo Cardoza</w:t>
            </w:r>
          </w:p>
        </w:tc>
      </w:tr>
      <w:tr>
        <w:tc>
          <w:tcPr>
            <w:tcW w:type="dxa" w:w="4680"/>
            <w:vAlign w:val="center"/>
          </w:tcPr>
          <w:p>
            <w:r>
              <w:rPr>
                <w:rFonts w:ascii="Calibri" w:hAnsi="Calibri" w:eastAsia="Calibri"/>
                <w:b/>
                <w:sz w:val="20"/>
              </w:rPr>
              <w:t>Propiedad</w:t>
            </w:r>
          </w:p>
        </w:tc>
        <w:tc>
          <w:tcPr>
            <w:tcW w:type="dxa" w:w="4680"/>
            <w:vAlign w:val="center"/>
          </w:tcPr>
          <w:p>
            <w:r>
              <w:rPr>
                <w:rFonts w:ascii="Calibri" w:hAnsi="Calibri" w:eastAsia="Calibri"/>
                <w:sz w:val="20"/>
              </w:rPr>
              <w:t>320 Rose Pl / Rose Place</w:t>
            </w:r>
          </w:p>
        </w:tc>
      </w:tr>
      <w:tr>
        <w:tc>
          <w:tcPr>
            <w:tcW w:type="dxa" w:w="4680"/>
            <w:vAlign w:val="center"/>
          </w:tcPr>
          <w:p>
            <w:r>
              <w:rPr>
                <w:rFonts w:ascii="Calibri" w:hAnsi="Calibri" w:eastAsia="Calibri"/>
                <w:b/>
                <w:sz w:val="20"/>
              </w:rPr>
              <w:t>Prop?sito</w:t>
            </w:r>
          </w:p>
        </w:tc>
        <w:tc>
          <w:tcPr>
            <w:tcW w:type="dxa" w:w="4680"/>
            <w:vAlign w:val="center"/>
          </w:tcPr>
          <w:p>
            <w:r>
              <w:rPr>
                <w:rFonts w:ascii="Calibri" w:hAnsi="Calibri" w:eastAsia="Calibri"/>
                <w:sz w:val="20"/>
              </w:rPr>
              <w:t>Nueva evaluaci?n de capacidad de pago con supuestos de aprobaci?n para Sell Your Home despu?s de solicitar explicaciones de retiros</w:t>
            </w:r>
          </w:p>
        </w:tc>
      </w:tr>
      <w:tr>
        <w:tc>
          <w:tcPr>
            <w:tcW w:type="dxa" w:w="4680"/>
            <w:vAlign w:val="center"/>
          </w:tcPr>
          <w:p>
            <w:r>
              <w:rPr>
                <w:rFonts w:ascii="Calibri" w:hAnsi="Calibri" w:eastAsia="Calibri"/>
                <w:b/>
                <w:sz w:val="20"/>
              </w:rPr>
              <w:t>Resultado general</w:t>
            </w:r>
          </w:p>
        </w:tc>
        <w:tc>
          <w:tcPr>
            <w:tcW w:type="dxa" w:w="4680"/>
            <w:vAlign w:val="center"/>
          </w:tcPr>
          <w:p>
            <w:r>
              <w:rPr>
                <w:rFonts w:ascii="Calibri" w:hAnsi="Calibri" w:eastAsia="Calibri"/>
                <w:sz w:val="20"/>
              </w:rPr>
              <w:t>Aprobaci?n condicional respaldable bajo los supuestos indicados para Ever Amarildo Cardoza; no es aprobaci?n incondicional hasta que se satisfagan las condiciones de evidencia, fondos y cumplimiento</w:t>
            </w:r>
          </w:p>
        </w:tc>
      </w:tr>
    </w:tbl>
    <w:p>
      <w:pPr>
        <w:pStyle w:val="Heading1"/>
      </w:pPr>
      <w:r>
        <w:rPr>
          <w:b w:val="0"/>
          <w:i w:val="0"/>
        </w:rPr>
        <w:t>Qu? cambi? en esta nueva evaluaci?n</w:t>
      </w:r>
    </w:p>
    <w:p>
      <w:r>
        <w:rPr>
          <w:b w:val="0"/>
          <w:i w:val="0"/>
        </w:rPr>
        <w:t>Esta versi?n fue preparada en modo de aprobaci?n con supuestos a solicitud de Sell Your Home.</w:t>
      </w:r>
    </w:p>
    <w:p>
      <w:r>
        <w:rPr>
          <w:b w:val="0"/>
          <w:i w:val="0"/>
        </w:rPr>
        <w:t>El escenario supone que Ever proporciona explicaciones escritas satisfactorias, verificaci?n y/o un estado actual de p?rdidas y ganancias de Matthew Flooring LLC que respalde los retiros del negocio y el ingreso disponible a nivel del prestatario.</w:t>
      </w:r>
    </w:p>
    <w:p>
      <w:r>
        <w:rPr>
          <w:b w:val="0"/>
          <w:i w:val="0"/>
        </w:rPr>
        <w:t>Bajo ese supuesto, el expediente puede respaldar una aprobaci?n condicional; si los supuestos no se comprueban, la recomendaci?n previa de no aprobar sigue controlando.</w:t>
      </w:r>
    </w:p>
    <w:tbl>
      <w:tblPr>
        <w:tblStyle w:val="TableGrid"/>
        <w:tblW w:type="auto" w:w="0"/>
        <w:jc w:val="center"/>
        <w:tblLayout w:type="fixed"/>
        <w:tblLook w:firstColumn="1" w:firstRow="1" w:lastColumn="0" w:lastRow="0" w:noHBand="0" w:noVBand="1" w:val="04A0"/>
      </w:tblPr>
      <w:tblGrid>
        <w:gridCol w:w="9360"/>
      </w:tblGrid>
      <w:tr>
        <w:tc>
          <w:tcPr>
            <w:tcW w:type="dxa" w:w="9360"/>
            <w:vAlign w:val="center"/>
          </w:tcPr>
          <w:p>
            <w:r>
              <w:rPr>
                <w:rFonts w:ascii="Calibri" w:hAnsi="Calibri" w:eastAsia="Calibri"/>
                <w:sz w:val="20"/>
              </w:rPr>
              <w:t>Recomendaci?n ejecutiva</w:t>
              <w:br/>
              <w:t>En modo de aprobaci?n con supuestos, Investment Services, LLC considera que la aprobaci?n condicional es respaldable si Ever realmente proporciona documentaci?n satisfactoria que demuestre que los retiros del negocio y la actividad de p?rdidas y ganancias de Matthew Flooring LLC respaldan al menos $9,500/mes de ingreso neto o disponible a nivel del prestatario. La relaci?n de vivienda es aceptable en 28.4% usando ese ingreso verificado. La relaci?n total de deudas sigue siendo alta en 51.2%, por lo que la aprobaci?n final debe permanecer condicionada al paquete de ingresos, prueba de efectivo para cerrar y reservas, estados bancarios personales actuales, confirmaci?n final de deudas y revisi?n legal/de cumplimiento. Si las respuestas asumidas no se comprueban, el resultado previo de no aprobar sigue siendo apropiado.</w:t>
            </w:r>
          </w:p>
        </w:tc>
      </w:tr>
    </w:tbl>
    <w:p>
      <w:pPr>
        <w:pStyle w:val="Heading1"/>
      </w:pPr>
      <w:r>
        <w:rPr>
          <w:b w:val="0"/>
          <w:i w:val="0"/>
        </w:rPr>
        <w:t>Resumen de la transacci?n</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Datos de la transacci?n respaldados</w:t>
            </w:r>
          </w:p>
        </w:tc>
        <w:tc>
          <w:tcPr>
            <w:tcW w:type="dxa" w:w="4680"/>
            <w:vAlign w:val="center"/>
          </w:tcPr>
          <w:p>
            <w:r>
              <w:rPr>
                <w:rFonts w:ascii="Calibri" w:hAnsi="Calibri" w:eastAsia="Calibri"/>
                <w:sz w:val="20"/>
              </w:rPr>
              <w:t>Datos de la transacci?n respaldados</w:t>
            </w:r>
          </w:p>
        </w:tc>
      </w:tr>
      <w:tr>
        <w:tc>
          <w:tcPr>
            <w:tcW w:type="dxa" w:w="4680"/>
            <w:vAlign w:val="center"/>
          </w:tcPr>
          <w:p>
            <w:r>
              <w:rPr>
                <w:rFonts w:ascii="Calibri" w:hAnsi="Calibri" w:eastAsia="Calibri"/>
                <w:b/>
                <w:sz w:val="20"/>
              </w:rPr>
              <w:t>Precio de compra</w:t>
            </w:r>
          </w:p>
        </w:tc>
        <w:tc>
          <w:tcPr>
            <w:tcW w:type="dxa" w:w="4680"/>
            <w:vAlign w:val="center"/>
          </w:tcPr>
          <w:p>
            <w:r>
              <w:rPr>
                <w:rFonts w:ascii="Calibri" w:hAnsi="Calibri" w:eastAsia="Calibri"/>
                <w:sz w:val="20"/>
              </w:rPr>
              <w:t>$346,500 impl?cito a partir de un pago inicial declarado de 6% por $20,790.</w:t>
            </w:r>
          </w:p>
        </w:tc>
      </w:tr>
      <w:tr>
        <w:tc>
          <w:tcPr>
            <w:tcW w:type="dxa" w:w="4680"/>
            <w:vAlign w:val="center"/>
          </w:tcPr>
          <w:p>
            <w:r>
              <w:rPr>
                <w:rFonts w:ascii="Calibri" w:hAnsi="Calibri" w:eastAsia="Calibri"/>
                <w:b/>
                <w:sz w:val="20"/>
              </w:rPr>
              <w:t>Pago mensual propuesto</w:t>
            </w:r>
          </w:p>
        </w:tc>
        <w:tc>
          <w:tcPr>
            <w:tcW w:type="dxa" w:w="4680"/>
            <w:vAlign w:val="center"/>
          </w:tcPr>
          <w:p>
            <w:r>
              <w:rPr>
                <w:rFonts w:ascii="Calibri" w:hAnsi="Calibri" w:eastAsia="Calibri"/>
                <w:sz w:val="20"/>
              </w:rPr>
              <w:t>$2,701, descrito como incluyendo principal, intereses, impuestos de propiedad y dep?sito de seguro.</w:t>
            </w:r>
          </w:p>
        </w:tc>
      </w:tr>
      <w:tr>
        <w:tc>
          <w:tcPr>
            <w:tcW w:type="dxa" w:w="4680"/>
            <w:vAlign w:val="center"/>
          </w:tcPr>
          <w:p>
            <w:r>
              <w:rPr>
                <w:rFonts w:ascii="Calibri" w:hAnsi="Calibri" w:eastAsia="Calibri"/>
                <w:b/>
                <w:sz w:val="20"/>
              </w:rPr>
              <w:t>Dep?sito de garant?a</w:t>
            </w:r>
          </w:p>
        </w:tc>
        <w:tc>
          <w:tcPr>
            <w:tcW w:type="dxa" w:w="4680"/>
            <w:vAlign w:val="center"/>
          </w:tcPr>
          <w:p>
            <w:r>
              <w:rPr>
                <w:rFonts w:ascii="Calibri" w:hAnsi="Calibri" w:eastAsia="Calibri"/>
                <w:sz w:val="20"/>
              </w:rPr>
              <w:t>$6,000 pagaderos al firmar el contrato, con el saldo restante del pago inicial pagadero en el cierre con abogado.</w:t>
            </w:r>
          </w:p>
        </w:tc>
      </w:tr>
      <w:tr>
        <w:tc>
          <w:tcPr>
            <w:tcW w:type="dxa" w:w="4680"/>
            <w:vAlign w:val="center"/>
          </w:tcPr>
          <w:p>
            <w:r>
              <w:rPr>
                <w:rFonts w:ascii="Calibri" w:hAnsi="Calibri" w:eastAsia="Calibri"/>
                <w:b/>
                <w:sz w:val="20"/>
              </w:rPr>
              <w:t>Historial de renta</w:t>
            </w:r>
          </w:p>
        </w:tc>
        <w:tc>
          <w:tcPr>
            <w:tcW w:type="dxa" w:w="4680"/>
            <w:vAlign w:val="center"/>
          </w:tcPr>
          <w:p>
            <w:r>
              <w:rPr>
                <w:rFonts w:ascii="Calibri" w:hAnsi="Calibri" w:eastAsia="Calibri"/>
                <w:sz w:val="20"/>
              </w:rPr>
              <w:t>La carta de verificaci?n de renta de Sell Your Home indica renta de $1,850/mes desde julio de 2025 hasta junio de 2026 y pagos puntuales.</w:t>
            </w:r>
          </w:p>
        </w:tc>
      </w:tr>
      <w:tr>
        <w:tc>
          <w:tcPr>
            <w:tcW w:type="dxa" w:w="4680"/>
            <w:vAlign w:val="center"/>
          </w:tcPr>
          <w:p>
            <w:r>
              <w:rPr>
                <w:rFonts w:ascii="Calibri" w:hAnsi="Calibri" w:eastAsia="Calibri"/>
                <w:b/>
                <w:sz w:val="20"/>
              </w:rPr>
              <w:t>Renta actual en la solicitud de Zillow</w:t>
            </w:r>
          </w:p>
        </w:tc>
        <w:tc>
          <w:tcPr>
            <w:tcW w:type="dxa" w:w="4680"/>
            <w:vAlign w:val="center"/>
          </w:tcPr>
          <w:p>
            <w:r>
              <w:rPr>
                <w:rFonts w:ascii="Calibri" w:hAnsi="Calibri" w:eastAsia="Calibri"/>
                <w:sz w:val="20"/>
              </w:rPr>
              <w:t>$1,885/mes mostrado en los detalles del solicitante.</w:t>
            </w:r>
          </w:p>
        </w:tc>
      </w:tr>
      <w:tr>
        <w:tc>
          <w:tcPr>
            <w:tcW w:type="dxa" w:w="4680"/>
            <w:vAlign w:val="center"/>
          </w:tcPr>
          <w:p>
            <w:r>
              <w:rPr>
                <w:rFonts w:ascii="Calibri" w:hAnsi="Calibri" w:eastAsia="Calibri"/>
                <w:b/>
                <w:sz w:val="20"/>
              </w:rPr>
              <w:t>Estructura a?n no resuelta</w:t>
            </w:r>
          </w:p>
        </w:tc>
        <w:tc>
          <w:tcPr>
            <w:tcW w:type="dxa" w:w="4680"/>
            <w:vAlign w:val="center"/>
          </w:tcPr>
          <w:p>
            <w:r>
              <w:rPr>
                <w:rFonts w:ascii="Calibri" w:hAnsi="Calibri" w:eastAsia="Calibri"/>
                <w:sz w:val="20"/>
              </w:rPr>
              <w:t>Los materiales de la reuni?n usan lenguaje mixto sobre financiamiento tipo pagar?/hipoteca y estructura con transferencia de escritura despu?s del pago total; se requiere revisi?n de abogado sin importar el modo de aprobaci?n con supuestos.</w:t>
            </w:r>
          </w:p>
        </w:tc>
      </w:tr>
    </w:tbl>
    <w:p>
      <w:pPr>
        <w:pStyle w:val="Heading1"/>
      </w:pPr>
      <w:r>
        <w:rPr>
          <w:b w:val="0"/>
          <w:i w:val="0"/>
        </w:rPr>
        <w:t>Fortalezas de evaluaci?n inicial</w:t>
      </w:r>
    </w:p>
    <w:p>
      <w:pPr>
        <w:pStyle w:val="ListBullet"/>
      </w:pPr>
      <w:r>
        <w:rPr>
          <w:b w:val="0"/>
          <w:i w:val="0"/>
        </w:rPr>
        <w:t>La identidad aparece marcada como verificada en los detalles del solicitante.</w:t>
      </w:r>
    </w:p>
    <w:p>
      <w:pPr>
        <w:pStyle w:val="ListBullet"/>
      </w:pPr>
      <w:r>
        <w:rPr>
          <w:b w:val="0"/>
          <w:i w:val="0"/>
        </w:rPr>
        <w:t>El reporte de cr?dito muestra un puntaje VantageScore 4.0 de 706.</w:t>
      </w:r>
    </w:p>
    <w:p>
      <w:pPr>
        <w:pStyle w:val="ListBullet"/>
      </w:pPr>
      <w:r>
        <w:rPr>
          <w:b w:val="0"/>
          <w:i w:val="0"/>
        </w:rPr>
        <w:t>El reporte de cr?dito muestra 100% de pagos puntuales, sin cobros, sin cuentas morosas o derogatorias, y sin bancarrotas encontradas.</w:t>
      </w:r>
    </w:p>
    <w:p>
      <w:pPr>
        <w:pStyle w:val="ListBullet"/>
      </w:pPr>
      <w:r>
        <w:rPr>
          <w:b w:val="0"/>
          <w:i w:val="0"/>
        </w:rPr>
        <w:t>La verificaci?n de antecedentes no reporta registros en corte de vivienda ni antecedentes penales.</w:t>
      </w:r>
    </w:p>
    <w:p>
      <w:pPr>
        <w:pStyle w:val="ListBullet"/>
      </w:pPr>
      <w:r>
        <w:rPr>
          <w:b w:val="0"/>
          <w:i w:val="0"/>
        </w:rPr>
        <w:t>La carta de verificaci?n de renta respalda pagos puntuales durante el arrendamiento.</w:t>
      </w:r>
    </w:p>
    <w:p>
      <w:pPr>
        <w:pStyle w:val="Heading1"/>
      </w:pPr>
      <w:r>
        <w:rPr>
          <w:b w:val="0"/>
          <w:i w:val="0"/>
        </w:rPr>
        <w:t>Hallazgos de capacidad de pago</w:t>
      </w:r>
    </w:p>
    <w:p>
      <w:pPr>
        <w:pStyle w:val="Heading2"/>
      </w:pPr>
      <w:r>
        <w:rPr>
          <w:b w:val="0"/>
          <w:i w:val="0"/>
        </w:rPr>
        <w:t>Ingresos y flujo de efectivo del negocio</w:t>
      </w:r>
    </w:p>
    <w:p>
      <w:r>
        <w:rPr>
          <w:b w:val="0"/>
          <w:i w:val="0"/>
        </w:rPr>
        <w:t>Los detalles del solicitante indican ingreso por trabajo por cuenta propia de $9,500/mes. En este escenario de aprobaci?n con supuestos, ese ingreso se trata como respaldado por explicaciones escritas adecuadas, soporte de retiros del propietario o compensaci?n, y/o un estado actual de p?rdidas y ganancias de Matthew Flooring LLC. Los dep?sitos brutos del negocio todav?a no se tratan como ingreso por s? solos; el resultado asumido de aprobaci?n depende de un puente verificado entre la actividad del negocio y el ingreso neto o disponible a nivel del prestatario.</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Resumen de estados del negocio</w:t>
            </w:r>
          </w:p>
        </w:tc>
        <w:tc>
          <w:tcPr>
            <w:tcW w:type="dxa" w:w="4680"/>
            <w:vAlign w:val="center"/>
          </w:tcPr>
          <w:p>
            <w:r>
              <w:rPr>
                <w:rFonts w:ascii="Calibri" w:hAnsi="Calibri" w:eastAsia="Calibri"/>
                <w:sz w:val="20"/>
              </w:rPr>
              <w:t>Resumen de estados del negocio</w:t>
            </w:r>
          </w:p>
        </w:tc>
      </w:tr>
      <w:tr>
        <w:tc>
          <w:tcPr>
            <w:tcW w:type="dxa" w:w="4680"/>
            <w:vAlign w:val="center"/>
          </w:tcPr>
          <w:p>
            <w:r>
              <w:rPr>
                <w:rFonts w:ascii="Calibri" w:hAnsi="Calibri" w:eastAsia="Calibri"/>
                <w:b/>
                <w:sz w:val="20"/>
              </w:rPr>
              <w:t>Estados del negocio ?nicos revisados</w:t>
            </w:r>
          </w:p>
        </w:tc>
        <w:tc>
          <w:tcPr>
            <w:tcW w:type="dxa" w:w="4680"/>
            <w:vAlign w:val="center"/>
          </w:tcPr>
          <w:p>
            <w:r>
              <w:rPr>
                <w:rFonts w:ascii="Calibri" w:hAnsi="Calibri" w:eastAsia="Calibri"/>
                <w:sz w:val="20"/>
              </w:rPr>
              <w:t>16 estados ?nicos; un estado de negocio de agosto/septiembre de 2025 parece duplicado o mal etiquetado.</w:t>
            </w:r>
          </w:p>
        </w:tc>
      </w:tr>
      <w:tr>
        <w:tc>
          <w:tcPr>
            <w:tcW w:type="dxa" w:w="4680"/>
            <w:vAlign w:val="center"/>
          </w:tcPr>
          <w:p>
            <w:r>
              <w:rPr>
                <w:rFonts w:ascii="Calibri" w:hAnsi="Calibri" w:eastAsia="Calibri"/>
                <w:b/>
                <w:sz w:val="20"/>
              </w:rPr>
              <w:t>Dep?sitos/cr?ditos del negocio</w:t>
            </w:r>
          </w:p>
        </w:tc>
        <w:tc>
          <w:tcPr>
            <w:tcW w:type="dxa" w:w="4680"/>
            <w:vAlign w:val="center"/>
          </w:tcPr>
          <w:p>
            <w:r>
              <w:rPr>
                <w:rFonts w:ascii="Calibri" w:hAnsi="Calibri" w:eastAsia="Calibri"/>
                <w:sz w:val="20"/>
              </w:rPr>
              <w:t>$434,462.90 total; $27,153.93 promedio por mes.</w:t>
            </w:r>
          </w:p>
        </w:tc>
      </w:tr>
      <w:tr>
        <w:tc>
          <w:tcPr>
            <w:tcW w:type="dxa" w:w="4680"/>
            <w:vAlign w:val="center"/>
          </w:tcPr>
          <w:p>
            <w:r>
              <w:rPr>
                <w:rFonts w:ascii="Calibri" w:hAnsi="Calibri" w:eastAsia="Calibri"/>
                <w:b/>
                <w:sz w:val="20"/>
              </w:rPr>
              <w:t>Retiros/d?bitos del negocio</w:t>
            </w:r>
          </w:p>
        </w:tc>
        <w:tc>
          <w:tcPr>
            <w:tcW w:type="dxa" w:w="4680"/>
            <w:vAlign w:val="center"/>
          </w:tcPr>
          <w:p>
            <w:r>
              <w:rPr>
                <w:rFonts w:ascii="Calibri" w:hAnsi="Calibri" w:eastAsia="Calibri"/>
                <w:sz w:val="20"/>
              </w:rPr>
              <w:t>$433,300.52 total; $27,081.28 promedio por mes.</w:t>
            </w:r>
          </w:p>
        </w:tc>
      </w:tr>
      <w:tr>
        <w:tc>
          <w:tcPr>
            <w:tcW w:type="dxa" w:w="4680"/>
            <w:vAlign w:val="center"/>
          </w:tcPr>
          <w:p>
            <w:r>
              <w:rPr>
                <w:rFonts w:ascii="Calibri" w:hAnsi="Calibri" w:eastAsia="Calibri"/>
                <w:b/>
                <w:sz w:val="20"/>
              </w:rPr>
              <w:t>Aumento neto mensual promedio de la cuenta</w:t>
            </w:r>
          </w:p>
        </w:tc>
        <w:tc>
          <w:tcPr>
            <w:tcW w:type="dxa" w:w="4680"/>
            <w:vAlign w:val="center"/>
          </w:tcPr>
          <w:p>
            <w:r>
              <w:rPr>
                <w:rFonts w:ascii="Calibri" w:hAnsi="Calibri" w:eastAsia="Calibri"/>
                <w:sz w:val="20"/>
              </w:rPr>
              <w:t>$72.65 en el conjunto de estados ?nicos antes de aplicar cualquier retiro del propietario, ajuste, reembolso o ajuste de p?rdidas y ganancias verificado.</w:t>
            </w:r>
          </w:p>
        </w:tc>
      </w:tr>
      <w:tr>
        <w:tc>
          <w:tcPr>
            <w:tcW w:type="dxa" w:w="4680"/>
            <w:vAlign w:val="center"/>
          </w:tcPr>
          <w:p>
            <w:r>
              <w:rPr>
                <w:rFonts w:ascii="Calibri" w:hAnsi="Calibri" w:eastAsia="Calibri"/>
                <w:b/>
                <w:sz w:val="20"/>
              </w:rPr>
              <w:t>Promedio de dep?sitos del negocio en 2026</w:t>
            </w:r>
          </w:p>
        </w:tc>
        <w:tc>
          <w:tcPr>
            <w:tcW w:type="dxa" w:w="4680"/>
            <w:vAlign w:val="center"/>
          </w:tcPr>
          <w:p>
            <w:r>
              <w:rPr>
                <w:rFonts w:ascii="Calibri" w:hAnsi="Calibri" w:eastAsia="Calibri"/>
                <w:sz w:val="20"/>
              </w:rPr>
              <w:t>$24,631.93/mes desde enero hasta mayo de 2026.</w:t>
            </w:r>
          </w:p>
        </w:tc>
      </w:tr>
      <w:tr>
        <w:tc>
          <w:tcPr>
            <w:tcW w:type="dxa" w:w="4680"/>
            <w:vAlign w:val="center"/>
          </w:tcPr>
          <w:p>
            <w:r>
              <w:rPr>
                <w:rFonts w:ascii="Calibri" w:hAnsi="Calibri" w:eastAsia="Calibri"/>
                <w:b/>
                <w:sz w:val="20"/>
              </w:rPr>
              <w:t>Aumento neto promedio del negocio en 2026</w:t>
            </w:r>
          </w:p>
        </w:tc>
        <w:tc>
          <w:tcPr>
            <w:tcW w:type="dxa" w:w="4680"/>
            <w:vAlign w:val="center"/>
          </w:tcPr>
          <w:p>
            <w:r>
              <w:rPr>
                <w:rFonts w:ascii="Calibri" w:hAnsi="Calibri" w:eastAsia="Calibri"/>
                <w:sz w:val="20"/>
              </w:rPr>
              <w:t>$528.82/mes desde enero hasta mayo de 2026.</w:t>
            </w:r>
          </w:p>
        </w:tc>
      </w:tr>
      <w:tr>
        <w:tc>
          <w:tcPr>
            <w:tcW w:type="dxa" w:w="4680"/>
            <w:vAlign w:val="center"/>
          </w:tcPr>
          <w:p>
            <w:r>
              <w:rPr>
                <w:rFonts w:ascii="Calibri" w:hAnsi="Calibri" w:eastAsia="Calibri"/>
                <w:b/>
                <w:sz w:val="20"/>
              </w:rPr>
              <w:t>Saldo final m?s reciente del negocio</w:t>
            </w:r>
          </w:p>
        </w:tc>
        <w:tc>
          <w:tcPr>
            <w:tcW w:type="dxa" w:w="4680"/>
            <w:vAlign w:val="center"/>
          </w:tcPr>
          <w:p>
            <w:r>
              <w:rPr>
                <w:rFonts w:ascii="Calibri" w:hAnsi="Calibri" w:eastAsia="Calibri"/>
                <w:sz w:val="20"/>
              </w:rPr>
              <w:t>$5,058.11 en el estado del 31 de mayo de 2026; esto por s? solo no prueba fondos para cerrar ni reservas.</w:t>
            </w:r>
          </w:p>
        </w:tc>
      </w:tr>
    </w:tbl>
    <w:p>
      <w:pPr>
        <w:pStyle w:val="Heading2"/>
      </w:pPr>
      <w:r>
        <w:rPr>
          <w:b w:val="0"/>
          <w:i w:val="0"/>
        </w:rPr>
        <w:t>Carga de deuda</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Resumen de deuda del reporte de cr?dito</w:t>
            </w:r>
          </w:p>
        </w:tc>
        <w:tc>
          <w:tcPr>
            <w:tcW w:type="dxa" w:w="4680"/>
            <w:vAlign w:val="center"/>
          </w:tcPr>
          <w:p>
            <w:r>
              <w:rPr>
                <w:rFonts w:ascii="Calibri" w:hAnsi="Calibri" w:eastAsia="Calibri"/>
                <w:sz w:val="20"/>
              </w:rPr>
              <w:t>Resumen de deuda del reporte de cr?dito</w:t>
            </w:r>
          </w:p>
        </w:tc>
      </w:tr>
      <w:tr>
        <w:tc>
          <w:tcPr>
            <w:tcW w:type="dxa" w:w="4680"/>
            <w:vAlign w:val="center"/>
          </w:tcPr>
          <w:p>
            <w:r>
              <w:rPr>
                <w:rFonts w:ascii="Calibri" w:hAnsi="Calibri" w:eastAsia="Calibri"/>
                <w:b/>
                <w:sz w:val="20"/>
              </w:rPr>
              <w:t>Pagos mensuales de deuda estimados</w:t>
            </w:r>
          </w:p>
        </w:tc>
        <w:tc>
          <w:tcPr>
            <w:tcW w:type="dxa" w:w="4680"/>
            <w:vAlign w:val="center"/>
          </w:tcPr>
          <w:p>
            <w:r>
              <w:rPr>
                <w:rFonts w:ascii="Calibri" w:hAnsi="Calibri" w:eastAsia="Calibri"/>
                <w:sz w:val="20"/>
              </w:rPr>
              <w:t>$2,162</w:t>
            </w:r>
          </w:p>
        </w:tc>
      </w:tr>
      <w:tr>
        <w:tc>
          <w:tcPr>
            <w:tcW w:type="dxa" w:w="4680"/>
            <w:vAlign w:val="center"/>
          </w:tcPr>
          <w:p>
            <w:r>
              <w:rPr>
                <w:rFonts w:ascii="Calibri" w:hAnsi="Calibri" w:eastAsia="Calibri"/>
                <w:b/>
                <w:sz w:val="20"/>
              </w:rPr>
              <w:t>Deuda total</w:t>
            </w:r>
          </w:p>
        </w:tc>
        <w:tc>
          <w:tcPr>
            <w:tcW w:type="dxa" w:w="4680"/>
            <w:vAlign w:val="center"/>
          </w:tcPr>
          <w:p>
            <w:r>
              <w:rPr>
                <w:rFonts w:ascii="Calibri" w:hAnsi="Calibri" w:eastAsia="Calibri"/>
                <w:sz w:val="20"/>
              </w:rPr>
              <w:t>$86,790</w:t>
            </w:r>
          </w:p>
        </w:tc>
      </w:tr>
      <w:tr>
        <w:tc>
          <w:tcPr>
            <w:tcW w:type="dxa" w:w="4680"/>
            <w:vAlign w:val="center"/>
          </w:tcPr>
          <w:p>
            <w:r>
              <w:rPr>
                <w:rFonts w:ascii="Calibri" w:hAnsi="Calibri" w:eastAsia="Calibri"/>
                <w:b/>
                <w:sz w:val="20"/>
              </w:rPr>
              <w:t>Saldos abiertos de pr?stamos de auto</w:t>
            </w:r>
          </w:p>
        </w:tc>
        <w:tc>
          <w:tcPr>
            <w:tcW w:type="dxa" w:w="4680"/>
            <w:vAlign w:val="center"/>
          </w:tcPr>
          <w:p>
            <w:r>
              <w:rPr>
                <w:rFonts w:ascii="Calibri" w:hAnsi="Calibri" w:eastAsia="Calibri"/>
                <w:sz w:val="20"/>
              </w:rPr>
              <w:t>$16,536; $19,112; $22,864; $28,278</w:t>
            </w:r>
          </w:p>
        </w:tc>
      </w:tr>
      <w:tr>
        <w:tc>
          <w:tcPr>
            <w:tcW w:type="dxa" w:w="4680"/>
            <w:vAlign w:val="center"/>
          </w:tcPr>
          <w:p>
            <w:r>
              <w:rPr>
                <w:rFonts w:ascii="Calibri" w:hAnsi="Calibri" w:eastAsia="Calibri"/>
                <w:b/>
                <w:sz w:val="20"/>
              </w:rPr>
              <w:t>Saldo de tarjeta de cr?dito mostrado</w:t>
            </w:r>
          </w:p>
        </w:tc>
        <w:tc>
          <w:tcPr>
            <w:tcW w:type="dxa" w:w="4680"/>
            <w:vAlign w:val="center"/>
          </w:tcPr>
          <w:p>
            <w:r>
              <w:rPr>
                <w:rFonts w:ascii="Calibri" w:hAnsi="Calibri" w:eastAsia="Calibri"/>
                <w:sz w:val="20"/>
              </w:rPr>
              <w:t>$0 en cuenta Capital One</w:t>
            </w:r>
          </w:p>
        </w:tc>
      </w:tr>
    </w:tbl>
    <w:p>
      <w:pPr>
        <w:pStyle w:val="Heading2"/>
      </w:pPr>
      <w:r>
        <w:rPr>
          <w:b w:val="0"/>
          <w:i w:val="0"/>
        </w:rPr>
        <w:t>Prueba de razones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Prueba de razones</w:t>
            </w:r>
          </w:p>
        </w:tc>
        <w:tc>
          <w:tcPr>
            <w:tcW w:type="dxa" w:w="4680"/>
            <w:vAlign w:val="center"/>
          </w:tcPr>
          <w:p>
            <w:r>
              <w:rPr>
                <w:rFonts w:ascii="Calibri" w:hAnsi="Calibri" w:eastAsia="Calibri"/>
                <w:sz w:val="20"/>
              </w:rPr>
              <w:t>Prueba de razones</w:t>
            </w:r>
          </w:p>
        </w:tc>
      </w:tr>
      <w:tr>
        <w:tc>
          <w:tcPr>
            <w:tcW w:type="dxa" w:w="4680"/>
            <w:vAlign w:val="center"/>
          </w:tcPr>
          <w:p>
            <w:r>
              <w:rPr>
                <w:rFonts w:ascii="Calibri" w:hAnsi="Calibri" w:eastAsia="Calibri"/>
                <w:b/>
                <w:sz w:val="20"/>
              </w:rPr>
              <w:t>Relaci?n de vivienda usando ingreso declarado</w:t>
            </w:r>
          </w:p>
        </w:tc>
        <w:tc>
          <w:tcPr>
            <w:tcW w:type="dxa" w:w="4680"/>
            <w:vAlign w:val="center"/>
          </w:tcPr>
          <w:p>
            <w:r>
              <w:rPr>
                <w:rFonts w:ascii="Calibri" w:hAnsi="Calibri" w:eastAsia="Calibri"/>
                <w:sz w:val="20"/>
              </w:rPr>
              <w:t>$2,701 / $9,500 = 28.4%</w:t>
            </w:r>
          </w:p>
        </w:tc>
      </w:tr>
      <w:tr>
        <w:tc>
          <w:tcPr>
            <w:tcW w:type="dxa" w:w="4680"/>
            <w:vAlign w:val="center"/>
          </w:tcPr>
          <w:p>
            <w:r>
              <w:rPr>
                <w:rFonts w:ascii="Calibri" w:hAnsi="Calibri" w:eastAsia="Calibri"/>
                <w:b/>
                <w:sz w:val="20"/>
              </w:rPr>
              <w:t>Relaci?n total de deudas usando ingreso declarado</w:t>
            </w:r>
          </w:p>
        </w:tc>
        <w:tc>
          <w:tcPr>
            <w:tcW w:type="dxa" w:w="4680"/>
            <w:vAlign w:val="center"/>
          </w:tcPr>
          <w:p>
            <w:r>
              <w:rPr>
                <w:rFonts w:ascii="Calibri" w:hAnsi="Calibri" w:eastAsia="Calibri"/>
                <w:sz w:val="20"/>
              </w:rPr>
              <w:t>($2,701 + $2,162) / $9,500 = 51.2%</w:t>
            </w:r>
          </w:p>
        </w:tc>
      </w:tr>
      <w:tr>
        <w:tc>
          <w:tcPr>
            <w:tcW w:type="dxa" w:w="4680"/>
            <w:vAlign w:val="center"/>
          </w:tcPr>
          <w:p>
            <w:r>
              <w:rPr>
                <w:rFonts w:ascii="Calibri" w:hAnsi="Calibri" w:eastAsia="Calibri"/>
                <w:b/>
                <w:sz w:val="20"/>
              </w:rPr>
              <w:t>Interpretaci?n de evaluaci?n</w:t>
            </w:r>
          </w:p>
        </w:tc>
        <w:tc>
          <w:tcPr>
            <w:tcW w:type="dxa" w:w="4680"/>
            <w:vAlign w:val="center"/>
          </w:tcPr>
          <w:p>
            <w:r>
              <w:rPr>
                <w:rFonts w:ascii="Calibri" w:hAnsi="Calibri" w:eastAsia="Calibri"/>
                <w:sz w:val="20"/>
              </w:rPr>
              <w:t>Con el ingreso verificado asumido de $9,500/mes a nivel del prestatario, la relaci?n de vivienda es aceptable, pero la relaci?n total de 51.2% sigue siendo alta. La aprobaci?n condicional solo es respaldable con factores compensatorios documentados fuertes y prueba de fondos para cerrar/reservas.</w:t>
            </w:r>
          </w:p>
        </w:tc>
      </w:tr>
    </w:tbl>
    <w:p>
      <w:pPr>
        <w:pStyle w:val="Heading2"/>
      </w:pPr>
      <w:r>
        <w:rPr>
          <w:b w:val="0"/>
          <w:i w:val="0"/>
        </w:rPr>
        <w:t>Efectivo para cerrar y reservas</w:t>
      </w:r>
    </w:p>
    <w:p>
      <w:r>
        <w:rPr>
          <w:b w:val="0"/>
          <w:i w:val="0"/>
        </w:rPr>
        <w:t>Los saldos bancarios existentes todav?a no prueban independientemente el efectivo para cerrar. El saldo final m?s reciente del estado de negocio es $5,058.11 y el saldo final del estado personal m?s reciente proporcionado es $503.73. La aprobaci?n final todav?a debe requerir prueba del dep?sito de garant?a de $6,000, el pago inicial total de $20,790, fondos de cierre y reservas posteriores al cierre.</w:t>
      </w:r>
    </w:p>
    <w:p>
      <w:pPr>
        <w:pStyle w:val="Heading1"/>
      </w:pPr>
      <w:r>
        <w:rPr>
          <w:b w:val="0"/>
          <w:i w:val="0"/>
        </w:rPr>
        <w:t>Decisi?n</w:t>
      </w:r>
    </w:p>
    <w:tbl>
      <w:tblPr>
        <w:tblStyle w:val="TableGrid"/>
        <w:tblW w:type="auto" w:w="0"/>
        <w:jc w:val="center"/>
        <w:tblLayout w:type="fixed"/>
        <w:tblLook w:firstColumn="1" w:firstRow="1" w:lastColumn="0" w:lastRow="0" w:noHBand="0" w:noVBand="1" w:val="04A0"/>
      </w:tblPr>
      <w:tblGrid>
        <w:gridCol w:w="9360"/>
      </w:tblGrid>
      <w:tr>
        <w:tc>
          <w:tcPr>
            <w:tcW w:type="dxa" w:w="9360"/>
            <w:vAlign w:val="center"/>
          </w:tcPr>
          <w:p>
            <w:r>
              <w:rPr>
                <w:rFonts w:ascii="Calibri" w:hAnsi="Calibri" w:eastAsia="Calibri"/>
                <w:sz w:val="20"/>
              </w:rPr>
              <w:t>Aprobaci?n condicional respaldable bajo los supuestos indicados</w:t>
              <w:br/>
              <w:t>Si Ever proporciona las explicaciones satisfactorias asumidas sobre retiros, soporte de p?rdidas y ganancias, registros de retiros del propietario o compensaci?n, y verificaci?n de que al menos $9,500/mes est? disponible como ingreso a nivel del prestatario, el expediente puede respaldar aprobaci?n condicional para continuar con la preparaci?n del contrato y la revisi?n legal/de cumplimiento. Esto no es una aprobaci?n final incondicional. Las condiciones restantes incluyen prueba de pago inicial, dep?sito de garant?a, fondos de cierre, reservas, estados personales actuales, confirmaci?n de deuda, estructura final de pagos, confirmaci?n del nombre legal y revisi?n legal/de cumplimiento. Si los supuestos no se comprueban con documentos reales, los dep?sitos brutos del negocio no deben usarse como ingreso y la recomendaci?n previa de no aprobar sigue controlando.</w:t>
            </w:r>
          </w:p>
        </w:tc>
      </w:tr>
    </w:tbl>
    <w:p>
      <w:pPr>
        <w:pStyle w:val="Heading1"/>
      </w:pPr>
      <w:r>
        <w:rPr>
          <w:b w:val="0"/>
          <w:i w:val="0"/>
        </w:rPr>
        <w:t>Condiciones requeridas antes de la aprobaci?n final</w:t>
      </w:r>
    </w:p>
    <w:p>
      <w:pPr>
        <w:pStyle w:val="ListNumber"/>
      </w:pPr>
      <w:r>
        <w:rPr>
          <w:b w:val="0"/>
          <w:i w:val="0"/>
        </w:rPr>
        <w:t>Nombre legal e identificaci?n de cada comprador u obligado.</w:t>
      </w:r>
    </w:p>
    <w:p>
      <w:pPr>
        <w:pStyle w:val="ListNumber"/>
      </w:pPr>
      <w:r>
        <w:rPr>
          <w:b w:val="0"/>
          <w:i w:val="0"/>
        </w:rPr>
        <w:t>Estados bancarios personales actuales de 2026 hasta el mes de solicitud o revisi?n de cierre.</w:t>
      </w:r>
    </w:p>
    <w:p>
      <w:pPr>
        <w:pStyle w:val="ListNumber"/>
      </w:pPr>
      <w:r>
        <w:rPr>
          <w:b w:val="0"/>
          <w:i w:val="0"/>
        </w:rPr>
        <w:t>Explicaciones escritas reales, estado de p?rdidas y ganancias, confirmaci?n de contador, registros de retiros del propietario, registros de n?mina/compensaci?n u otro soporte usado para verificar al menos $9,500/mes de ingreso neto o disponible a nivel del prestatario.</w:t>
      </w:r>
    </w:p>
    <w:p>
      <w:pPr>
        <w:pStyle w:val="ListNumber"/>
      </w:pPr>
      <w:r>
        <w:rPr>
          <w:b w:val="0"/>
          <w:i w:val="0"/>
        </w:rPr>
        <w:t>Explicaci?n del inter?s de propiedad, rol de funcionario o relaci?n de compensaci?n de Ever con Matthew Flooring LLC.</w:t>
      </w:r>
    </w:p>
    <w:p>
      <w:pPr>
        <w:pStyle w:val="ListNumber"/>
      </w:pPr>
      <w:r>
        <w:rPr>
          <w:b w:val="0"/>
          <w:i w:val="0"/>
        </w:rPr>
        <w:t>Documentaci?n de transferencias Zelle importantes, retiros en cajero autom?tico y cualquier gasto mixto de negocio/personal que se trate como ajuste, retiro del propietario, gasto reembolsado o partida no recurrente.</w:t>
      </w:r>
    </w:p>
    <w:p>
      <w:pPr>
        <w:pStyle w:val="ListNumber"/>
      </w:pPr>
      <w:r>
        <w:rPr>
          <w:b w:val="0"/>
          <w:i w:val="0"/>
        </w:rPr>
        <w:t>Obligaciones de deuda actuales y pagos mensuales, incluyendo si los pr?stamos de auto permanecer?n despu?s del cierre.</w:t>
      </w:r>
    </w:p>
    <w:p>
      <w:pPr>
        <w:pStyle w:val="ListNumber"/>
      </w:pPr>
      <w:r>
        <w:rPr>
          <w:b w:val="0"/>
          <w:i w:val="0"/>
        </w:rPr>
        <w:t>Prueba del pago inicial, fuente del dep?sito de garant?a, fondos de cierre y reservas.</w:t>
      </w:r>
    </w:p>
    <w:p>
      <w:pPr>
        <w:pStyle w:val="ListNumber"/>
      </w:pPr>
      <w:r>
        <w:rPr>
          <w:b w:val="0"/>
          <w:i w:val="0"/>
        </w:rPr>
        <w:t>Calendario final de pagos propuesto y desglose de dep?sitos para impuestos/seguro.</w:t>
      </w:r>
    </w:p>
    <w:p>
      <w:pPr>
        <w:pStyle w:val="ListNumber"/>
      </w:pPr>
      <w:r>
        <w:rPr>
          <w:b w:val="0"/>
          <w:i w:val="0"/>
        </w:rPr>
        <w:t>Revisi?n de abogado sobre cumplimiento de financiamiento del vendedor y cualquier requisito de aviso por acci?n adversa o aprobaci?n condicional.</w:t>
      </w:r>
    </w:p>
    <w:p>
      <w:pPr>
        <w:pStyle w:val="Heading1"/>
      </w:pPr>
      <w:r>
        <w:rPr>
          <w:b w:val="0"/>
          <w:i w:val="0"/>
        </w:rPr>
        <w:t>Cumplimiento y limitaciones de uso</w:t>
      </w:r>
    </w:p>
    <w:p>
      <w:r>
        <w:rPr>
          <w:b w:val="0"/>
          <w:i w:val="0"/>
        </w:rPr>
        <w:t>Este informe es una revisi?n preliminar de negocio e integridad del expediente, no asesor?a legal.</w:t>
      </w:r>
    </w:p>
    <w:p>
      <w:r>
        <w:rPr>
          <w:b w:val="0"/>
          <w:i w:val="0"/>
        </w:rPr>
        <w:t>La revisi?n de abogado sigue siendo requerida para financiamiento del vendedor, Dodd-Frank, Regulation Z, ley de Carolina del Norte y preguntas sobre avisos de acci?n adversa.</w:t>
      </w:r>
    </w:p>
    <w:p>
      <w:r>
        <w:rPr>
          <w:b w:val="0"/>
          <w:i w:val="0"/>
        </w:rPr>
        <w:t>Si el comprador es rechazado o aprobado solo con t?rminos cambiados, el abogado debe confirmar si se requieren avisos bajo Equal Credit Opportunity Act o Fair Credit Reporting Act.</w:t>
      </w:r>
    </w:p>
    <w:p>
      <w:r>
        <w:rPr>
          <w:b w:val="0"/>
          <w:i w:val="0"/>
        </w:rPr>
        <w:t>Cualquier aprobaci?n final debe documentarse con el soporte real usado para el modo de aprobaci?n con supuestos y una nueva hoja de capacidad de pago usando ingreso neto verificado y evidencia de reservas.</w:t>
      </w:r>
    </w:p>
    <w:p>
      <w:pPr>
        <w:pStyle w:val="Heading1"/>
      </w:pPr>
      <w:r>
        <w:rPr>
          <w:b w:val="0"/>
          <w:i w:val="0"/>
        </w:rPr>
        <w:t>Preparado por</w:t>
      </w:r>
    </w:p>
    <w:p>
      <w:r>
        <w:rPr>
          <w:b w:val="0"/>
          <w:i w:val="0"/>
        </w:rPr>
        <w:t>Investment Services, LLC</w:t>
      </w:r>
    </w:p>
    <w:p>
      <w:r>
        <w:rPr>
          <w:b w:val="0"/>
          <w:i w:val="0"/>
        </w:rPr>
        <w:t>Para revisi?n de Sell Your Home y seguimiento legal/de cumplimiento.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A5A5A"/>
        <w:sz w:val="17"/>
      </w:rPr>
    </w:r>
    <w:r>
      <w:rPr>
        <w:color w:val="595959"/>
        <w:sz w:val="18"/>
      </w:rPr>
      <w:t xml:space="preserve">Page </w:t>
    </w:r>
    <w:r>
      <w:fldChar w:fldCharType="begin"/>
      <w:instrText xml:space="preserve">PAGE</w:instrText>
      <w:fldChar w:fldCharType="separate"/>
      <w:t>1</w:t>
      <w:fldChar w:fldCharType="end"/>
    </w:r>
    <w:r>
      <w:rPr>
        <w:color w:val="595959"/>
        <w:sz w:val="18"/>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F4B6AF0-4C13-4DBE-A71E-1D87C4D04F1C}"/>
</file>

<file path=customXml/itemProps3.xml><?xml version="1.0" encoding="utf-8"?>
<ds:datastoreItem xmlns:ds="http://schemas.openxmlformats.org/officeDocument/2006/customXml" ds:itemID="{89E9BC77-E30F-477F-B07F-1376FEE6CE28}"/>
</file>

<file path=customXml/itemProps4.xml><?xml version="1.0" encoding="utf-8"?>
<ds:datastoreItem xmlns:ds="http://schemas.openxmlformats.org/officeDocument/2006/customXml" ds:itemID="{F1BE76E7-7E95-4EF5-9C30-C4AE513EC49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26-06-05 320 Rose Ever Amarildo Cardoza - Creditworthiness Evaluation Report - English-Spanish Approval Assumption v4</dc:title>
  <dc:subject>English-Spanish approval-assumption creditworthiness evaluation for Sell Your Home</dc:subject>
  <dc:creator>Investment Services, LLC</dc:creator>
  <cp:keywords/>
  <dc:description>Prepared by Investment Services, LLC. English report controls; Spanish copy appended for convenience.</dc:description>
  <cp:lastModifiedBy>Investment Services, LLC</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