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0B2545"/>
          <w:sz w:val="40"/>
        </w:rPr>
        <w:t>320 Rose Place Buyer Creditworthiness Evaluation Report</w:t>
      </w:r>
    </w:p>
    <w:p>
      <w:pPr>
        <w:spacing w:after="200"/>
      </w:pPr>
      <w:r>
        <w:rPr>
          <w:i/>
          <w:color w:val="595959"/>
          <w:sz w:val="22"/>
        </w:rPr>
        <w:t>Version 2 - Hypothetical rerun assuming sufficient withdrawal explanation and business income verification</w:t>
      </w:r>
    </w:p>
    <w:tbl>
      <w:tblPr>
        <w:tblW w:type="auto" w:w="0"/>
        <w:jc w:val="center"/>
        <w:tblLayout w:type="fixed"/>
        <w:tblLook w:firstColumn="1" w:firstRow="1" w:lastColumn="0" w:lastRow="0" w:noHBand="0" w:noVBand="1" w:val="04A0"/>
      </w:tblPr>
      <w:tblGrid>
        <w:gridCol w:w="4680"/>
        <w:gridCol w:w="4680"/>
      </w:tblGrid>
      <w:tr>
        <w:tc>
          <w:tcPr>
            <w:tcW w:type="dxa" w:w="2592"/>
            <w:vAlign w:val="center"/>
            <w:tcMar>
              <w:top w:w="80" w:type="dxa"/>
              <w:start w:w="120" w:type="dxa"/>
              <w:bottom w:w="80" w:type="dxa"/>
              <w:end w:w="120" w:type="dxa"/>
            </w:tcMar>
            <w:shd w:fill="F2F4F7"/>
          </w:tcPr>
          <w:p>
            <w:r>
              <w:rPr>
                <w:b/>
                <w:sz w:val="20"/>
              </w:rPr>
              <w:t>Prepared by</w:t>
            </w:r>
          </w:p>
        </w:tc>
        <w:tc>
          <w:tcPr>
            <w:tcW w:type="dxa" w:w="6768"/>
            <w:vAlign w:val="center"/>
            <w:tcMar>
              <w:top w:w="80" w:type="dxa"/>
              <w:start w:w="120" w:type="dxa"/>
              <w:bottom w:w="80" w:type="dxa"/>
              <w:end w:w="120" w:type="dxa"/>
            </w:tcMar>
          </w:tcPr>
          <w:p>
            <w:r>
              <w:rPr>
                <w:b w:val="0"/>
                <w:sz w:val="20"/>
              </w:rPr>
              <w:t>Investment Services, LLC</w:t>
            </w:r>
          </w:p>
        </w:tc>
      </w:tr>
      <w:tr>
        <w:tc>
          <w:tcPr>
            <w:tcW w:type="dxa" w:w="2592"/>
            <w:vAlign w:val="center"/>
            <w:tcMar>
              <w:top w:w="80" w:type="dxa"/>
              <w:start w:w="120" w:type="dxa"/>
              <w:bottom w:w="80" w:type="dxa"/>
              <w:end w:w="120" w:type="dxa"/>
            </w:tcMar>
            <w:shd w:fill="F2F4F7"/>
          </w:tcPr>
          <w:p>
            <w:r>
              <w:rPr>
                <w:b/>
                <w:sz w:val="20"/>
              </w:rPr>
              <w:t>Report date</w:t>
            </w:r>
          </w:p>
        </w:tc>
        <w:tc>
          <w:tcPr>
            <w:tcW w:type="dxa" w:w="6768"/>
            <w:vAlign w:val="center"/>
            <w:tcMar>
              <w:top w:w="80" w:type="dxa"/>
              <w:start w:w="120" w:type="dxa"/>
              <w:bottom w:w="80" w:type="dxa"/>
              <w:end w:w="120" w:type="dxa"/>
            </w:tcMar>
          </w:tcPr>
          <w:p>
            <w:r>
              <w:rPr>
                <w:b w:val="0"/>
                <w:sz w:val="20"/>
              </w:rPr>
              <w:t>June 5, 2026</w:t>
            </w:r>
          </w:p>
        </w:tc>
      </w:tr>
      <w:tr>
        <w:tc>
          <w:tcPr>
            <w:tcW w:type="dxa" w:w="2592"/>
            <w:vAlign w:val="center"/>
            <w:tcMar>
              <w:top w:w="80" w:type="dxa"/>
              <w:start w:w="120" w:type="dxa"/>
              <w:bottom w:w="80" w:type="dxa"/>
              <w:end w:w="120" w:type="dxa"/>
            </w:tcMar>
            <w:shd w:fill="F2F4F7"/>
          </w:tcPr>
          <w:p>
            <w:r>
              <w:rPr>
                <w:b/>
                <w:sz w:val="20"/>
              </w:rPr>
              <w:t>Buyer reviewed</w:t>
            </w:r>
          </w:p>
        </w:tc>
        <w:tc>
          <w:tcPr>
            <w:tcW w:type="dxa" w:w="6768"/>
            <w:vAlign w:val="center"/>
            <w:tcMar>
              <w:top w:w="80" w:type="dxa"/>
              <w:start w:w="120" w:type="dxa"/>
              <w:bottom w:w="80" w:type="dxa"/>
              <w:end w:w="120" w:type="dxa"/>
            </w:tcMar>
          </w:tcPr>
          <w:p>
            <w:r>
              <w:rPr>
                <w:b w:val="0"/>
                <w:sz w:val="20"/>
              </w:rPr>
              <w:t>Ever Cardoza / Ever Amarildo Cardoza, name spelling still to be confirmed in closing documents</w:t>
            </w:r>
          </w:p>
        </w:tc>
      </w:tr>
      <w:tr>
        <w:tc>
          <w:tcPr>
            <w:tcW w:type="dxa" w:w="2592"/>
            <w:vAlign w:val="center"/>
            <w:tcMar>
              <w:top w:w="80" w:type="dxa"/>
              <w:start w:w="120" w:type="dxa"/>
              <w:bottom w:w="80" w:type="dxa"/>
              <w:end w:w="120" w:type="dxa"/>
            </w:tcMar>
            <w:shd w:fill="F2F4F7"/>
          </w:tcPr>
          <w:p>
            <w:r>
              <w:rPr>
                <w:b/>
                <w:sz w:val="20"/>
              </w:rPr>
              <w:t>Property</w:t>
            </w:r>
          </w:p>
        </w:tc>
        <w:tc>
          <w:tcPr>
            <w:tcW w:type="dxa" w:w="6768"/>
            <w:vAlign w:val="center"/>
            <w:tcMar>
              <w:top w:w="80" w:type="dxa"/>
              <w:start w:w="120" w:type="dxa"/>
              <w:bottom w:w="80" w:type="dxa"/>
              <w:end w:w="120" w:type="dxa"/>
            </w:tcMar>
          </w:tcPr>
          <w:p>
            <w:r>
              <w:rPr>
                <w:b w:val="0"/>
                <w:sz w:val="20"/>
              </w:rPr>
              <w:t>320 Rose Place</w:t>
            </w:r>
          </w:p>
        </w:tc>
      </w:tr>
      <w:tr>
        <w:tc>
          <w:tcPr>
            <w:tcW w:type="dxa" w:w="2592"/>
            <w:vAlign w:val="center"/>
            <w:tcMar>
              <w:top w:w="80" w:type="dxa"/>
              <w:start w:w="120" w:type="dxa"/>
              <w:bottom w:w="80" w:type="dxa"/>
              <w:end w:w="120" w:type="dxa"/>
            </w:tcMar>
            <w:shd w:fill="F2F4F7"/>
          </w:tcPr>
          <w:p>
            <w:r>
              <w:rPr>
                <w:b/>
                <w:sz w:val="20"/>
              </w:rPr>
              <w:t>Scenario basis</w:t>
            </w:r>
          </w:p>
        </w:tc>
        <w:tc>
          <w:tcPr>
            <w:tcW w:type="dxa" w:w="6768"/>
            <w:vAlign w:val="center"/>
            <w:tcMar>
              <w:top w:w="80" w:type="dxa"/>
              <w:start w:w="120" w:type="dxa"/>
              <w:bottom w:w="80" w:type="dxa"/>
              <w:end w:w="120" w:type="dxa"/>
            </w:tcMar>
          </w:tcPr>
          <w:p>
            <w:r>
              <w:rPr>
                <w:b w:val="0"/>
                <w:sz w:val="20"/>
              </w:rPr>
              <w:t>Assumes Ever provided satisfactory written explanations, verification, and/or a current Matthew Flooring LLC profit-and-loss statement sufficient to support borrower-level net/available income.</w:t>
            </w:r>
          </w:p>
        </w:tc>
      </w:tr>
    </w:tbl>
    <w:p>
      <w:pPr>
        <w:pStyle w:val="Heading1"/>
      </w:pPr>
      <w:r>
        <w:t>Executive Decision</w:t>
      </w:r>
    </w:p>
    <w:p>
      <w:r>
        <w:rPr>
          <w:b/>
        </w:rPr>
        <w:t xml:space="preserve">Conditional approval is supportable under the stated assumption. </w:t>
      </w:r>
      <w:r>
        <w:t>If Ever provides adequate verification that the May 2026 withdrawals and year-to-date business activity support at least $9,500 per month of borrower-level net/available income, the income-verification blocker in the prior report is materially cured. The file should still remain conditional until cash to close, reserves, final debt obligations, legal name, and seller-financing compliance review are complete.</w:t>
      </w:r>
    </w:p>
    <w:p>
      <w:r>
        <w:rPr>
          <w:b/>
        </w:rPr>
        <w:t xml:space="preserve">Important limitation: </w:t>
      </w:r>
      <w:r>
        <w:t>This version is a scenario evaluation. It does not state that the answers or P&amp;L have actually been received or reviewed. If the actual answers are not complete, documented, and internally consistent, the prior recommendation not to approve from the current file remains the controlling result.</w:t>
      </w:r>
    </w:p>
    <w:p>
      <w:pPr>
        <w:pStyle w:val="Heading1"/>
      </w:pPr>
      <w:r>
        <w:t>Assumed Additional Verification</w:t>
      </w:r>
    </w:p>
    <w:p>
      <w:pPr>
        <w:pStyle w:val="ListBullet"/>
      </w:pPr>
      <w:r>
        <w:t>Ever provided satisfactory explanations for major Zelle transfers, ATM cash withdrawals, and mixed business/personal-looking expenses.</w:t>
      </w:r>
    </w:p>
    <w:p>
      <w:pPr>
        <w:pStyle w:val="ListBullet"/>
      </w:pPr>
      <w:r>
        <w:t>The explanations were supported by receipts, invoices, labor/subcontractor records, owner-draw records, bookkeeping reports, bank-transfer support, CPA/accountant confirmation, or a current profit-and-loss statement.</w:t>
      </w:r>
    </w:p>
    <w:p>
      <w:pPr>
        <w:pStyle w:val="ListBullet"/>
      </w:pPr>
      <w:r>
        <w:t>The support distinguishes true business expenses from personal expenses and owner compensation or draws.</w:t>
      </w:r>
    </w:p>
    <w:p>
      <w:pPr>
        <w:pStyle w:val="ListBullet"/>
      </w:pPr>
      <w:r>
        <w:t>The resulting verified borrower-level net/available income is at least the stated $9,500 per month used for qualifying ratios.</w:t>
      </w:r>
    </w:p>
    <w:p>
      <w:pPr>
        <w:pStyle w:val="Heading1"/>
      </w:pPr>
      <w:r>
        <w:t>Income Treatment Guidance</w:t>
      </w:r>
    </w:p>
    <w:p>
      <w:pPr>
        <w:pStyle w:val="Heading2"/>
      </w:pPr>
      <w:r>
        <w:t>Items that may support income or income add-backs if verified</w:t>
      </w:r>
    </w:p>
    <w:p>
      <w:pPr>
        <w:pStyle w:val="ListBullet"/>
      </w:pPr>
      <w:r>
        <w:t>Owner draws or distributions paid to Ever can be treated as borrower income when supported by ownership records, draw records, bank transfers, bookkeeping, and/or accountant confirmation.</w:t>
      </w:r>
    </w:p>
    <w:p>
      <w:pPr>
        <w:pStyle w:val="ListBullet"/>
      </w:pPr>
      <w:r>
        <w:t>Personal expenses paid by the business may be added back to borrower cash flow if they were deducted as business expenses but clearly benefited Ever personally and are documented consistently.</w:t>
      </w:r>
    </w:p>
    <w:p>
      <w:pPr>
        <w:pStyle w:val="ListBullet"/>
      </w:pPr>
      <w:r>
        <w:t>Non-cash expenses such as depreciation or amortization may be added back if shown on a profit-and-loss statement or tax/accounting record.</w:t>
      </w:r>
    </w:p>
    <w:p>
      <w:pPr>
        <w:pStyle w:val="ListBullet"/>
      </w:pPr>
      <w:r>
        <w:t>Documented one-time or nonrecurring business expenses may be considered separately if they are not expected to continue after closing.</w:t>
      </w:r>
    </w:p>
    <w:p>
      <w:pPr>
        <w:pStyle w:val="ListBullet"/>
      </w:pPr>
      <w:r>
        <w:t>Reimbursed expenses may be excluded from expense treatment when the reimbursement is matched to deposits or customer payments.</w:t>
      </w:r>
    </w:p>
    <w:p>
      <w:pPr>
        <w:pStyle w:val="Heading2"/>
      </w:pPr>
      <w:r>
        <w:t>Items that should not be treated as income without stronger proof</w:t>
      </w:r>
    </w:p>
    <w:p>
      <w:pPr>
        <w:pStyle w:val="ListBullet"/>
      </w:pPr>
      <w:r>
        <w:t>Gross business deposits should not be treated as personal income by themselves.</w:t>
      </w:r>
    </w:p>
    <w:p>
      <w:pPr>
        <w:pStyle w:val="ListBullet"/>
      </w:pPr>
      <w:r>
        <w:t>Subcontractor, labor, material, insurance, vehicle, rent, utilities, financing, or other ordinary business costs remain expenses unless supported as owner compensation or personal benefit.</w:t>
      </w:r>
    </w:p>
    <w:p>
      <w:pPr>
        <w:pStyle w:val="ListBullet"/>
      </w:pPr>
      <w:r>
        <w:t>ATM withdrawals and Zelle payments are not income merely because they left the business account; they require recipient, purpose, and supporting documentation.</w:t>
      </w:r>
    </w:p>
    <w:p>
      <w:pPr>
        <w:pStyle w:val="ListBullet"/>
      </w:pPr>
      <w:r>
        <w:t>Unexplained cash withdrawals, undocumented person-to-person transfers, and personal-looking retail charges should not be counted as qualifying income.</w:t>
      </w:r>
    </w:p>
    <w:p>
      <w:pPr>
        <w:pStyle w:val="Heading1"/>
      </w:pPr>
      <w:r>
        <w:t>Updated Ability-To-Repay Analysis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240"/>
            <w:shd w:fill="F2F4F7"/>
            <w:vAlign w:val="center"/>
            <w:tcMar>
              <w:top w:w="80" w:type="dxa"/>
              <w:start w:w="120" w:type="dxa"/>
              <w:bottom w:w="80" w:type="dxa"/>
              <w:end w:w="120" w:type="dxa"/>
            </w:tcMar>
          </w:tcPr>
          <w:p>
            <w:r>
              <w:rPr>
                <w:b/>
                <w:sz w:val="20"/>
              </w:rPr>
              <w:t>Metric</w:t>
            </w:r>
          </w:p>
        </w:tc>
        <w:tc>
          <w:tcPr>
            <w:tcW w:type="dxa" w:w="1944"/>
            <w:shd w:fill="F2F4F7"/>
            <w:vAlign w:val="center"/>
            <w:tcMar>
              <w:top w:w="80" w:type="dxa"/>
              <w:start w:w="120" w:type="dxa"/>
              <w:bottom w:w="80" w:type="dxa"/>
              <w:end w:w="120" w:type="dxa"/>
            </w:tcMar>
          </w:tcPr>
          <w:p>
            <w:r>
              <w:rPr>
                <w:b/>
                <w:sz w:val="20"/>
              </w:rPr>
              <w:t>Amount</w:t>
            </w:r>
          </w:p>
        </w:tc>
        <w:tc>
          <w:tcPr>
            <w:tcW w:type="dxa" w:w="1944"/>
            <w:shd w:fill="F2F4F7"/>
            <w:vAlign w:val="center"/>
            <w:tcMar>
              <w:top w:w="80" w:type="dxa"/>
              <w:start w:w="120" w:type="dxa"/>
              <w:bottom w:w="80" w:type="dxa"/>
              <w:end w:w="120" w:type="dxa"/>
            </w:tcMar>
          </w:tcPr>
          <w:p>
            <w:r>
              <w:rPr>
                <w:b/>
                <w:sz w:val="20"/>
              </w:rPr>
              <w:t>Result</w:t>
            </w:r>
          </w:p>
        </w:tc>
        <w:tc>
          <w:tcPr>
            <w:tcW w:type="dxa" w:w="2232"/>
            <w:shd w:fill="F2F4F7"/>
            <w:vAlign w:val="center"/>
            <w:tcMar>
              <w:top w:w="80" w:type="dxa"/>
              <w:start w:w="120" w:type="dxa"/>
              <w:bottom w:w="80" w:type="dxa"/>
              <w:end w:w="120" w:type="dxa"/>
            </w:tcMar>
          </w:tcPr>
          <w:p>
            <w:r>
              <w:rPr>
                <w:b/>
                <w:sz w:val="20"/>
              </w:rPr>
              <w:t>Interpretation</w:t>
            </w:r>
          </w:p>
        </w:tc>
      </w:tr>
      <w:tr>
        <w:tc>
          <w:tcPr>
            <w:tcW w:type="dxa" w:w="3240"/>
            <w:vAlign w:val="center"/>
            <w:tcMar>
              <w:top w:w="80" w:type="dxa"/>
              <w:start w:w="120" w:type="dxa"/>
              <w:bottom w:w="80" w:type="dxa"/>
              <w:end w:w="120" w:type="dxa"/>
            </w:tcMar>
          </w:tcPr>
          <w:p>
            <w:r>
              <w:rPr>
                <w:b w:val="0"/>
                <w:sz w:val="20"/>
              </w:rPr>
              <w:t>Verified qualifying income assumed</w:t>
            </w:r>
          </w:p>
        </w:tc>
        <w:tc>
          <w:tcPr>
            <w:tcW w:type="dxa" w:w="1944"/>
            <w:vAlign w:val="center"/>
            <w:tcMar>
              <w:top w:w="80" w:type="dxa"/>
              <w:start w:w="120" w:type="dxa"/>
              <w:bottom w:w="80" w:type="dxa"/>
              <w:end w:w="120" w:type="dxa"/>
            </w:tcMar>
          </w:tcPr>
          <w:p>
            <w:r>
              <w:rPr>
                <w:b w:val="0"/>
                <w:sz w:val="20"/>
              </w:rPr>
              <w:t>$9,500/mo</w:t>
            </w:r>
          </w:p>
        </w:tc>
        <w:tc>
          <w:tcPr>
            <w:tcW w:type="dxa" w:w="1944"/>
            <w:vAlign w:val="center"/>
            <w:tcMar>
              <w:top w:w="80" w:type="dxa"/>
              <w:start w:w="120" w:type="dxa"/>
              <w:bottom w:w="80" w:type="dxa"/>
              <w:end w:w="120" w:type="dxa"/>
            </w:tcMar>
          </w:tcPr>
          <w:p>
            <w:r>
              <w:rPr>
                <w:b w:val="0"/>
                <w:sz w:val="20"/>
              </w:rPr>
              <w:t>Supported</w:t>
            </w:r>
          </w:p>
        </w:tc>
        <w:tc>
          <w:tcPr>
            <w:tcW w:type="dxa" w:w="2232"/>
            <w:vAlign w:val="center"/>
            <w:tcMar>
              <w:top w:w="80" w:type="dxa"/>
              <w:start w:w="120" w:type="dxa"/>
              <w:bottom w:w="80" w:type="dxa"/>
              <w:end w:w="120" w:type="dxa"/>
            </w:tcMar>
          </w:tcPr>
          <w:p>
            <w:r>
              <w:rPr>
                <w:b w:val="0"/>
                <w:sz w:val="20"/>
              </w:rPr>
              <w:t>Assumed cured by adequate P&amp;L/explanation package</w:t>
            </w:r>
          </w:p>
        </w:tc>
      </w:tr>
      <w:tr>
        <w:tc>
          <w:tcPr>
            <w:tcW w:type="dxa" w:w="3240"/>
            <w:vAlign w:val="center"/>
            <w:tcMar>
              <w:top w:w="80" w:type="dxa"/>
              <w:start w:w="120" w:type="dxa"/>
              <w:bottom w:w="80" w:type="dxa"/>
              <w:end w:w="120" w:type="dxa"/>
            </w:tcMar>
          </w:tcPr>
          <w:p>
            <w:r>
              <w:rPr>
                <w:b w:val="0"/>
                <w:sz w:val="20"/>
              </w:rPr>
              <w:t>Proposed housing payment</w:t>
            </w:r>
          </w:p>
        </w:tc>
        <w:tc>
          <w:tcPr>
            <w:tcW w:type="dxa" w:w="1944"/>
            <w:vAlign w:val="center"/>
            <w:tcMar>
              <w:top w:w="80" w:type="dxa"/>
              <w:start w:w="120" w:type="dxa"/>
              <w:bottom w:w="80" w:type="dxa"/>
              <w:end w:w="120" w:type="dxa"/>
            </w:tcMar>
          </w:tcPr>
          <w:p>
            <w:r>
              <w:rPr>
                <w:b w:val="0"/>
                <w:sz w:val="20"/>
              </w:rPr>
              <w:t>$2,701/mo</w:t>
            </w:r>
          </w:p>
        </w:tc>
        <w:tc>
          <w:tcPr>
            <w:tcW w:type="dxa" w:w="1944"/>
            <w:vAlign w:val="center"/>
            <w:tcMar>
              <w:top w:w="80" w:type="dxa"/>
              <w:start w:w="120" w:type="dxa"/>
              <w:bottom w:w="80" w:type="dxa"/>
              <w:end w:w="120" w:type="dxa"/>
            </w:tcMar>
          </w:tcPr>
          <w:p>
            <w:r>
              <w:rPr>
                <w:b w:val="0"/>
                <w:sz w:val="20"/>
              </w:rPr>
              <w:t>28.4%</w:t>
            </w:r>
          </w:p>
        </w:tc>
        <w:tc>
          <w:tcPr>
            <w:tcW w:type="dxa" w:w="2232"/>
            <w:vAlign w:val="center"/>
            <w:tcMar>
              <w:top w:w="80" w:type="dxa"/>
              <w:start w:w="120" w:type="dxa"/>
              <w:bottom w:w="80" w:type="dxa"/>
              <w:end w:w="120" w:type="dxa"/>
            </w:tcMar>
          </w:tcPr>
          <w:p>
            <w:r>
              <w:rPr>
                <w:b w:val="0"/>
                <w:sz w:val="20"/>
              </w:rPr>
              <w:t>Housing ratio is reasonable if income is verified</w:t>
            </w:r>
          </w:p>
        </w:tc>
      </w:tr>
      <w:tr>
        <w:tc>
          <w:tcPr>
            <w:tcW w:type="dxa" w:w="3240"/>
            <w:vAlign w:val="center"/>
            <w:tcMar>
              <w:top w:w="80" w:type="dxa"/>
              <w:start w:w="120" w:type="dxa"/>
              <w:bottom w:w="80" w:type="dxa"/>
              <w:end w:w="120" w:type="dxa"/>
            </w:tcMar>
          </w:tcPr>
          <w:p>
            <w:r>
              <w:rPr>
                <w:b w:val="0"/>
                <w:sz w:val="20"/>
              </w:rPr>
              <w:t>Estimated credit-report debt payments</w:t>
            </w:r>
          </w:p>
        </w:tc>
        <w:tc>
          <w:tcPr>
            <w:tcW w:type="dxa" w:w="1944"/>
            <w:vAlign w:val="center"/>
            <w:tcMar>
              <w:top w:w="80" w:type="dxa"/>
              <w:start w:w="120" w:type="dxa"/>
              <w:bottom w:w="80" w:type="dxa"/>
              <w:end w:w="120" w:type="dxa"/>
            </w:tcMar>
          </w:tcPr>
          <w:p>
            <w:r>
              <w:rPr>
                <w:b w:val="0"/>
                <w:sz w:val="20"/>
              </w:rPr>
              <w:t>$2,162/mo</w:t>
            </w:r>
          </w:p>
        </w:tc>
        <w:tc>
          <w:tcPr>
            <w:tcW w:type="dxa" w:w="1944"/>
            <w:vAlign w:val="center"/>
            <w:tcMar>
              <w:top w:w="80" w:type="dxa"/>
              <w:start w:w="120" w:type="dxa"/>
              <w:bottom w:w="80" w:type="dxa"/>
              <w:end w:w="120" w:type="dxa"/>
            </w:tcMar>
          </w:tcPr>
          <w:p>
            <w:r>
              <w:rPr>
                <w:b w:val="0"/>
                <w:sz w:val="20"/>
              </w:rPr>
              <w:t>High debt load</w:t>
            </w:r>
          </w:p>
        </w:tc>
        <w:tc>
          <w:tcPr>
            <w:tcW w:type="dxa" w:w="2232"/>
            <w:vAlign w:val="center"/>
            <w:tcMar>
              <w:top w:w="80" w:type="dxa"/>
              <w:start w:w="120" w:type="dxa"/>
              <w:bottom w:w="80" w:type="dxa"/>
              <w:end w:w="120" w:type="dxa"/>
            </w:tcMar>
          </w:tcPr>
          <w:p>
            <w:r>
              <w:rPr>
                <w:b w:val="0"/>
                <w:sz w:val="20"/>
              </w:rPr>
              <w:t>Four open auto loans remain a material pressure point</w:t>
            </w:r>
          </w:p>
        </w:tc>
      </w:tr>
      <w:tr>
        <w:tc>
          <w:tcPr>
            <w:tcW w:type="dxa" w:w="3240"/>
            <w:vAlign w:val="center"/>
            <w:tcMar>
              <w:top w:w="80" w:type="dxa"/>
              <w:start w:w="120" w:type="dxa"/>
              <w:bottom w:w="80" w:type="dxa"/>
              <w:end w:w="120" w:type="dxa"/>
            </w:tcMar>
          </w:tcPr>
          <w:p>
            <w:r>
              <w:rPr>
                <w:b w:val="0"/>
                <w:sz w:val="20"/>
              </w:rPr>
              <w:t>Back-end ratio</w:t>
            </w:r>
          </w:p>
        </w:tc>
        <w:tc>
          <w:tcPr>
            <w:tcW w:type="dxa" w:w="1944"/>
            <w:vAlign w:val="center"/>
            <w:tcMar>
              <w:top w:w="80" w:type="dxa"/>
              <w:start w:w="120" w:type="dxa"/>
              <w:bottom w:w="80" w:type="dxa"/>
              <w:end w:w="120" w:type="dxa"/>
            </w:tcMar>
          </w:tcPr>
          <w:p>
            <w:r>
              <w:rPr>
                <w:b w:val="0"/>
                <w:sz w:val="20"/>
              </w:rPr>
              <w:t>$4,863 / $9,500</w:t>
            </w:r>
          </w:p>
        </w:tc>
        <w:tc>
          <w:tcPr>
            <w:tcW w:type="dxa" w:w="1944"/>
            <w:vAlign w:val="center"/>
            <w:tcMar>
              <w:top w:w="80" w:type="dxa"/>
              <w:start w:w="120" w:type="dxa"/>
              <w:bottom w:w="80" w:type="dxa"/>
              <w:end w:w="120" w:type="dxa"/>
            </w:tcMar>
          </w:tcPr>
          <w:p>
            <w:r>
              <w:rPr>
                <w:b w:val="0"/>
                <w:sz w:val="20"/>
              </w:rPr>
              <w:t>51.2%</w:t>
            </w:r>
          </w:p>
        </w:tc>
        <w:tc>
          <w:tcPr>
            <w:tcW w:type="dxa" w:w="2232"/>
            <w:vAlign w:val="center"/>
            <w:tcMar>
              <w:top w:w="80" w:type="dxa"/>
              <w:start w:w="120" w:type="dxa"/>
              <w:bottom w:w="80" w:type="dxa"/>
              <w:end w:w="120" w:type="dxa"/>
            </w:tcMar>
          </w:tcPr>
          <w:p>
            <w:r>
              <w:rPr>
                <w:b w:val="0"/>
                <w:sz w:val="20"/>
              </w:rPr>
              <w:t>High; acceptable only with strong compensating factors and verified income</w:t>
            </w:r>
          </w:p>
        </w:tc>
      </w:tr>
      <w:tr>
        <w:tc>
          <w:tcPr>
            <w:tcW w:type="dxa" w:w="3240"/>
            <w:vAlign w:val="center"/>
            <w:tcMar>
              <w:top w:w="80" w:type="dxa"/>
              <w:start w:w="120" w:type="dxa"/>
              <w:bottom w:w="80" w:type="dxa"/>
              <w:end w:w="120" w:type="dxa"/>
            </w:tcMar>
          </w:tcPr>
          <w:p>
            <w:r>
              <w:rPr>
                <w:b w:val="0"/>
                <w:sz w:val="20"/>
              </w:rPr>
              <w:t>Latest business ending balance</w:t>
            </w:r>
          </w:p>
        </w:tc>
        <w:tc>
          <w:tcPr>
            <w:tcW w:type="dxa" w:w="1944"/>
            <w:vAlign w:val="center"/>
            <w:tcMar>
              <w:top w:w="80" w:type="dxa"/>
              <w:start w:w="120" w:type="dxa"/>
              <w:bottom w:w="80" w:type="dxa"/>
              <w:end w:w="120" w:type="dxa"/>
            </w:tcMar>
          </w:tcPr>
          <w:p>
            <w:r>
              <w:rPr>
                <w:b w:val="0"/>
                <w:sz w:val="20"/>
              </w:rPr>
              <w:t>$5,058.11</w:t>
            </w:r>
          </w:p>
        </w:tc>
        <w:tc>
          <w:tcPr>
            <w:tcW w:type="dxa" w:w="1944"/>
            <w:vAlign w:val="center"/>
            <w:tcMar>
              <w:top w:w="80" w:type="dxa"/>
              <w:start w:w="120" w:type="dxa"/>
              <w:bottom w:w="80" w:type="dxa"/>
              <w:end w:w="120" w:type="dxa"/>
            </w:tcMar>
          </w:tcPr>
          <w:p>
            <w:r>
              <w:rPr>
                <w:b w:val="0"/>
                <w:sz w:val="20"/>
              </w:rPr>
              <w:t>Limited</w:t>
            </w:r>
          </w:p>
        </w:tc>
        <w:tc>
          <w:tcPr>
            <w:tcW w:type="dxa" w:w="2232"/>
            <w:vAlign w:val="center"/>
            <w:tcMar>
              <w:top w:w="80" w:type="dxa"/>
              <w:start w:w="120" w:type="dxa"/>
              <w:bottom w:w="80" w:type="dxa"/>
              <w:end w:w="120" w:type="dxa"/>
            </w:tcMar>
          </w:tcPr>
          <w:p>
            <w:r>
              <w:rPr>
                <w:b w:val="0"/>
                <w:sz w:val="20"/>
              </w:rPr>
              <w:t>Does not by itself prove down payment or reserves</w:t>
            </w:r>
          </w:p>
        </w:tc>
      </w:tr>
      <w:tr>
        <w:tc>
          <w:tcPr>
            <w:tcW w:type="dxa" w:w="3240"/>
            <w:vAlign w:val="center"/>
            <w:tcMar>
              <w:top w:w="80" w:type="dxa"/>
              <w:start w:w="120" w:type="dxa"/>
              <w:bottom w:w="80" w:type="dxa"/>
              <w:end w:w="120" w:type="dxa"/>
            </w:tcMar>
          </w:tcPr>
          <w:p>
            <w:r>
              <w:rPr>
                <w:b w:val="0"/>
                <w:sz w:val="20"/>
              </w:rPr>
              <w:t>Latest personal ending balance on file</w:t>
            </w:r>
          </w:p>
        </w:tc>
        <w:tc>
          <w:tcPr>
            <w:tcW w:type="dxa" w:w="1944"/>
            <w:vAlign w:val="center"/>
            <w:tcMar>
              <w:top w:w="80" w:type="dxa"/>
              <w:start w:w="120" w:type="dxa"/>
              <w:bottom w:w="80" w:type="dxa"/>
              <w:end w:w="120" w:type="dxa"/>
            </w:tcMar>
          </w:tcPr>
          <w:p>
            <w:r>
              <w:rPr>
                <w:b w:val="0"/>
                <w:sz w:val="20"/>
              </w:rPr>
              <w:t>$503.73</w:t>
            </w:r>
          </w:p>
        </w:tc>
        <w:tc>
          <w:tcPr>
            <w:tcW w:type="dxa" w:w="1944"/>
            <w:vAlign w:val="center"/>
            <w:tcMar>
              <w:top w:w="80" w:type="dxa"/>
              <w:start w:w="120" w:type="dxa"/>
              <w:bottom w:w="80" w:type="dxa"/>
              <w:end w:w="120" w:type="dxa"/>
            </w:tcMar>
          </w:tcPr>
          <w:p>
            <w:r>
              <w:rPr>
                <w:b w:val="0"/>
                <w:sz w:val="20"/>
              </w:rPr>
              <w:t>Limited</w:t>
            </w:r>
          </w:p>
        </w:tc>
        <w:tc>
          <w:tcPr>
            <w:tcW w:type="dxa" w:w="2232"/>
            <w:vAlign w:val="center"/>
            <w:tcMar>
              <w:top w:w="80" w:type="dxa"/>
              <w:start w:w="120" w:type="dxa"/>
              <w:bottom w:w="80" w:type="dxa"/>
              <w:end w:w="120" w:type="dxa"/>
            </w:tcMar>
          </w:tcPr>
          <w:p>
            <w:r>
              <w:rPr>
                <w:b w:val="0"/>
                <w:sz w:val="20"/>
              </w:rPr>
              <w:t>Current personal statements and funds-to-close proof still needed</w:t>
            </w:r>
          </w:p>
        </w:tc>
      </w:tr>
    </w:tbl>
    <w:p>
      <w:r>
        <w:rPr>
          <w:b/>
        </w:rPr>
        <w:t xml:space="preserve">Conclusion on ratios: </w:t>
      </w:r>
      <w:r>
        <w:t>With $9,500 per month treated as verified net/available income, the housing ratio is acceptable. The back-end ratio remains high at 51.2%, so approval should rely on compensating factors: verified income, strong credit history, timely rent history, satisfactory explanation of business outflows, and proof of sufficient cash to close and reserves.</w:t>
      </w:r>
    </w:p>
    <w:p>
      <w:pPr>
        <w:pStyle w:val="Heading1"/>
      </w:pPr>
      <w:r>
        <w:t>Compensating Factors</w:t>
      </w:r>
    </w:p>
    <w:p>
      <w:pPr>
        <w:pStyle w:val="ListBullet"/>
      </w:pPr>
      <w:r>
        <w:t>706 VantageScore 4.0 credit score.</w:t>
      </w:r>
    </w:p>
    <w:p>
      <w:pPr>
        <w:pStyle w:val="ListBullet"/>
      </w:pPr>
      <w:r>
        <w:t>100% on-time payment history in the credit report reviewed, with no collections, derogatory account, bankruptcy, or housing court issue shown in the file materials.</w:t>
      </w:r>
    </w:p>
    <w:p>
      <w:pPr>
        <w:pStyle w:val="ListBullet"/>
      </w:pPr>
      <w:r>
        <w:t>Buy Your Home rent verification supports timely rent payment history at $1,850 per month from July 2025 through June 2026.</w:t>
      </w:r>
    </w:p>
    <w:p>
      <w:pPr>
        <w:pStyle w:val="ListBullet"/>
      </w:pPr>
      <w:r>
        <w:t>Matthew Flooring LLC bank statements show active business gross cash flow through May 2026, and this scenario assumes the missing net-income bridge has been adequately documented.</w:t>
      </w:r>
    </w:p>
    <w:p>
      <w:pPr>
        <w:pStyle w:val="ListBullet"/>
      </w:pPr>
      <w:r>
        <w:t>The proposed housing payment of $2,701 is materially higher than current rent, but the assumed verified income supports the payment at a 28.4% housing ratio.</w:t>
      </w:r>
    </w:p>
    <w:p>
      <w:pPr>
        <w:pStyle w:val="Heading1"/>
      </w:pPr>
      <w:r>
        <w:t>Remaining Conditions Before Final Approval</w:t>
      </w:r>
    </w:p>
    <w:p>
      <w:pPr>
        <w:pStyle w:val="ListNumber"/>
      </w:pPr>
      <w:r>
        <w:t>Receive and retain the actual written explanations, P&amp;L, accountant confirmation, and supporting records used to support the $9,500 monthly qualifying income.</w:t>
      </w:r>
    </w:p>
    <w:p>
      <w:pPr>
        <w:pStyle w:val="ListNumber"/>
      </w:pPr>
      <w:r>
        <w:t>Verify proof of earnest money, total down payment of $20,790, closing funds, and adequate post-closing reserves.</w:t>
      </w:r>
    </w:p>
    <w:p>
      <w:pPr>
        <w:pStyle w:val="ListNumber"/>
      </w:pPr>
      <w:r>
        <w:t>Obtain current personal bank statements through the application or closing-review month.</w:t>
      </w:r>
    </w:p>
    <w:p>
      <w:pPr>
        <w:pStyle w:val="ListNumber"/>
      </w:pPr>
      <w:r>
        <w:t>Confirm current monthly debt obligations, including whether all four open auto loans remain active after closing.</w:t>
      </w:r>
    </w:p>
    <w:p>
      <w:pPr>
        <w:pStyle w:val="ListNumber"/>
      </w:pPr>
      <w:r>
        <w:t>Confirm the buyer legal name, all obligors, and whether Maria or any other household member is part of the obligation or only household support.</w:t>
      </w:r>
    </w:p>
    <w:p>
      <w:pPr>
        <w:pStyle w:val="ListNumber"/>
      </w:pPr>
      <w:r>
        <w:t>Finalize the $2,701 payment breakdown into principal, interest, property tax escrow, insurance escrow, and any other monthly charge.</w:t>
      </w:r>
    </w:p>
    <w:p>
      <w:pPr>
        <w:pStyle w:val="ListNumber"/>
      </w:pPr>
      <w:r>
        <w:t>Complete attorney/compliance review of the seller-financing structure, contract-for-deed requirements, Dodd-Frank/Regulation Z seller-financer rules, state law, and any notice obligations.</w:t>
      </w:r>
    </w:p>
    <w:p>
      <w:pPr>
        <w:pStyle w:val="Heading1"/>
      </w:pPr>
      <w:r>
        <w:t>Revised Recommendation</w:t>
      </w:r>
    </w:p>
    <w:p>
      <w:r>
        <w:rPr>
          <w:b/>
        </w:rPr>
        <w:t xml:space="preserve">Approve conditionally for continued contract preparation and compliance review, assuming the additional documentation is actually received and satisfactory. </w:t>
      </w:r>
      <w:r>
        <w:t>The assumed verification cures the primary income-documentation concern and makes the stated $9,500 monthly income usable for the ability-to-repay review. Because the back-end ratio remains high and cash-to-close/reserves are not proven by the existing bank balances, this should not be treated as an unconditional final approval.</w:t>
      </w:r>
    </w:p>
    <w:p>
      <w:r>
        <w:rPr>
          <w:b/>
        </w:rPr>
        <w:t xml:space="preserve">Fallback result: </w:t>
      </w:r>
      <w:r>
        <w:t>If the actual answers do not prove which withdrawals are business expenses, personal expenses, owner draws, reimbursed expenses, or nonrecurring items, then gross deposits still cannot be treated as borrower income and the prior do-not-approve recommendation remains appropriate.</w:t>
      </w:r>
    </w:p>
    <w:p>
      <w:pPr>
        <w:pStyle w:val="Heading1"/>
      </w:pPr>
      <w:r>
        <w:t>Source Basis</w:t>
      </w:r>
    </w:p>
    <w:p>
      <w:pPr>
        <w:pStyle w:val="ListBullet"/>
      </w:pPr>
      <w:r>
        <w:t>Applicant details and credit report in the 320 Rose Ever Cordoza source folder.</w:t>
      </w:r>
    </w:p>
    <w:p>
      <w:pPr>
        <w:pStyle w:val="ListBullet"/>
      </w:pPr>
      <w:r>
        <w:t>Matthew Flooring LLC business bank statements through May 31, 2026.</w:t>
      </w:r>
    </w:p>
    <w:p>
      <w:pPr>
        <w:pStyle w:val="ListBullet"/>
      </w:pPr>
      <w:r>
        <w:t>Buy Your Home rent verification letter dated June 5, 2026.</w:t>
      </w:r>
    </w:p>
    <w:p>
      <w:pPr>
        <w:pStyle w:val="ListBullet"/>
      </w:pPr>
      <w:r>
        <w:t>Prior project-room preliminary review and formal report dated June 5, 2026.</w:t>
      </w:r>
    </w:p>
    <w:p>
      <w:pPr>
        <w:pStyle w:val="ListBullet"/>
      </w:pPr>
      <w:r>
        <w:t>User instruction for this version: run the evaluation as if sufficient answers were provided in response to the withdrawal explanation request.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color w:val="595959"/>
        <w:sz w:val="18"/>
      </w:rPr>
      <w:t xml:space="preserve">Page </w:t>
    </w:r>
    <w:r>
      <w:fldChar w:fldCharType="begin"/>
      <w:instrText xml:space="preserve">PAGE</w:instrText>
      <w:fldChar w:fldCharType="separate"/>
      <w:t>1</w:t>
      <w:fldChar w:fldCharType="end"/>
    </w:r>
    <w:r>
      <w:rPr>
        <w:color w:val="595959"/>
        <w:sz w:val="18"/>
      </w:rPr>
      <w:t xml:space="preserve"> of </w:t>
    </w:r>
    <w: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46042CF-EB7D-41ED-8C3C-F39B50397812}"/>
</file>

<file path=customXml/itemProps3.xml><?xml version="1.0" encoding="utf-8"?>
<ds:datastoreItem xmlns:ds="http://schemas.openxmlformats.org/officeDocument/2006/customXml" ds:itemID="{4647A4AF-6BEF-4A3D-9A6D-5CBE37971A3B}"/>
</file>

<file path=customXml/itemProps4.xml><?xml version="1.0" encoding="utf-8"?>
<ds:datastoreItem xmlns:ds="http://schemas.openxmlformats.org/officeDocument/2006/customXml" ds:itemID="{6E8880B5-AC5F-412F-A10B-C11EEE63FF0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320 Rose Place Buyer Creditworthiness Evaluation Report v2</dc:title>
  <dc:subject>Conditional buyer creditworthiness evaluation scenario</dc:subject>
  <dc:creator>Investment Services, LLC</dc:creator>
  <cp:keywords/>
  <dc:description>Prepared by Investment Services, LLC. Scenario rerun assumes sufficient withdrawal explanation and income support.</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