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64" w:lineRule="auto"/>
        <w:pBdr>
          <w:bottom w:val="single" w:sz="8" w:space="6" w:color="2E74B5"/>
        </w:pBdr>
      </w:pPr>
      <w:r>
        <w:rPr>
          <w:rFonts w:ascii="Calibri" w:hAnsi="Calibri"/>
          <w:b/>
          <w:i w:val="0"/>
          <w:color w:val="000000"/>
          <w:sz w:val="40"/>
        </w:rPr>
        <w:t>UPDATED CREDITWORTHINESS EVALUATION REPORT</w:t>
      </w:r>
    </w:p>
    <w:p>
      <w:pPr>
        <w:spacing w:before="0" w:after="240" w:line="264" w:lineRule="auto"/>
      </w:pPr>
      <w:r>
        <w:rPr>
          <w:rFonts w:ascii="Calibri" w:hAnsi="Calibri"/>
          <w:b w:val="0"/>
          <w:i w:val="0"/>
          <w:color w:val="5A5A5A"/>
          <w:sz w:val="26"/>
        </w:rPr>
        <w:t>Proposed Buyer Review for 320 Rose Pl / Rose Place</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Prepared by</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Investment Services, LLC</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Report date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June 5, 2026</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Subject buyer</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Ever Amarildo Cardoza; contract spelling still to be confirmed</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Property</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320 Rose Pl / Rose Place</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Purpose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Rerun preliminary ability-to-repay and file-completeness review after new Ever documents</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Overall result</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Do not approve from the current file; conditionally reconsider with verified net income and reserve proof</w:t>
            </w:r>
          </w:p>
        </w:tc>
      </w:tr>
    </w:tbl>
    <w:p>
      <w:pPr>
        <w:spacing w:before="0" w:after="40" w:line="264" w:lineRule="auto"/>
      </w:pP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rPr>
                <w:rFonts w:ascii="Calibri" w:hAnsi="Calibri"/>
                <w:b/>
                <w:i w:val="0"/>
                <w:color w:val="9B1C1C"/>
                <w:sz w:val="22"/>
              </w:rPr>
              <w:t>Executive Recommendation</w:t>
            </w:r>
          </w:p>
          <w:p>
            <w:pPr>
              <w:spacing w:line="264" w:lineRule="auto"/>
            </w:pPr>
            <w:r>
              <w:rPr>
                <w:rFonts w:ascii="Calibri" w:hAnsi="Calibri"/>
                <w:b w:val="0"/>
                <w:i w:val="0"/>
                <w:color w:val="000000"/>
                <w:sz w:val="21"/>
              </w:rPr>
              <w:t>The new documents materially improve the file because they show active Matthew Flooring LLC business cash flow and timely rent history. Investment Services, LLC still recommends no approval from the current package because the file does not verify borrower-level net self-employment income, cash to close, or reserves.</w:t>
            </w:r>
          </w:p>
        </w:tc>
      </w:tr>
    </w:tbl>
    <w:p>
      <w:pPr>
        <w:spacing w:before="0" w:after="40" w:line="264" w:lineRule="auto"/>
      </w:pPr>
    </w:p>
    <w:p>
      <w:pPr>
        <w:pStyle w:val="Heading1"/>
        <w:keepNext/>
        <w:spacing w:before="320" w:after="160"/>
      </w:pPr>
      <w:r>
        <w:rPr>
          <w:rFonts w:ascii="Calibri" w:hAnsi="Calibri"/>
          <w:b/>
          <w:i w:val="0"/>
          <w:color w:val="2E74B5"/>
          <w:sz w:val="32"/>
        </w:rPr>
        <w:t>What Changed In This Rerun</w:t>
      </w:r>
    </w:p>
    <w:p>
      <w:pPr>
        <w:pStyle w:val="ListBullet"/>
        <w:spacing w:after="140" w:line="280" w:lineRule="auto"/>
        <w:ind w:left="720" w:hanging="360"/>
      </w:pPr>
      <w:r>
        <w:rPr>
          <w:rFonts w:ascii="Calibri" w:hAnsi="Calibri"/>
          <w:b w:val="0"/>
          <w:i w:val="0"/>
          <w:color w:val="000000"/>
          <w:sz w:val="22"/>
        </w:rPr>
        <w:t>New Matthew Flooring LLC business bank statements were reviewed from January 2025 through May 2026.</w:t>
      </w:r>
    </w:p>
    <w:p>
      <w:pPr>
        <w:pStyle w:val="ListBullet"/>
        <w:spacing w:after="140" w:line="280" w:lineRule="auto"/>
        <w:ind w:left="720" w:hanging="360"/>
      </w:pPr>
      <w:r>
        <w:rPr>
          <w:rFonts w:ascii="Calibri" w:hAnsi="Calibri"/>
          <w:b w:val="0"/>
          <w:i w:val="0"/>
          <w:color w:val="000000"/>
          <w:sz w:val="22"/>
        </w:rPr>
        <w:t>A Buy Your Home rent payment verification letter states Ever Cardoza rented 4121 Tensity Dr from July 2025 through June 2026 at $1,850/month and paid timely.</w:t>
      </w:r>
    </w:p>
    <w:p>
      <w:pPr>
        <w:pStyle w:val="ListBullet"/>
        <w:spacing w:after="140" w:line="280" w:lineRule="auto"/>
        <w:ind w:left="720" w:hanging="360"/>
      </w:pPr>
      <w:r>
        <w:rPr>
          <w:rFonts w:ascii="Calibri" w:hAnsi="Calibri"/>
          <w:b w:val="0"/>
          <w:i w:val="0"/>
          <w:color w:val="000000"/>
          <w:sz w:val="22"/>
        </w:rPr>
        <w:t>The new business statements support real business activity and gross revenue, but not net borrower income by themselves.</w:t>
      </w:r>
    </w:p>
    <w:p>
      <w:r>
        <w:br w:type="page"/>
      </w:r>
    </w:p>
    <w:p>
      <w:pPr>
        <w:pStyle w:val="Heading1"/>
        <w:keepNext/>
        <w:spacing w:before="320" w:after="160"/>
      </w:pPr>
      <w:r>
        <w:rPr>
          <w:rFonts w:ascii="Calibri" w:hAnsi="Calibri"/>
          <w:b/>
          <w:i w:val="0"/>
          <w:color w:val="2E74B5"/>
          <w:sz w:val="32"/>
        </w:rPr>
        <w:t>Transaction Snapshot</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rPr>
                <w:rFonts w:ascii="Calibri" w:hAnsi="Calibri"/>
                <w:b/>
                <w:i w:val="0"/>
                <w:color w:val="000000"/>
                <w:sz w:val="21"/>
              </w:rPr>
              <w:t>Supported Transaction Facts</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Purchase price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$346,500 implied from a stated 6% down payment of $20,790.</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Proposed monthly payment</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$2,701, described as including principal, interest, property taxes, and insurance escrow.</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Earnest money</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$6,000 due at contract signing, with remaining down payment due at attorney closing.</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Rent history</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Buy Your Home letter states $1,850/month rent from July 2025 through June 2026 and timely payments.</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Current rent in Zillow application</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$1,885/month shown in applicant details.</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Structure still unresolved</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Meeting materials use mixed language about note/mortgage-style financing and deed-transfer-after-payoff structure.</w:t>
            </w:r>
          </w:p>
        </w:tc>
      </w:tr>
    </w:tbl>
    <w:p>
      <w:pPr>
        <w:spacing w:before="0" w:after="40" w:line="264" w:lineRule="auto"/>
      </w:pPr>
    </w:p>
    <w:p>
      <w:pPr>
        <w:pStyle w:val="Heading1"/>
        <w:keepNext/>
        <w:spacing w:before="320" w:after="160"/>
      </w:pPr>
      <w:r>
        <w:rPr>
          <w:rFonts w:ascii="Calibri" w:hAnsi="Calibri"/>
          <w:b/>
          <w:i w:val="0"/>
          <w:color w:val="2E74B5"/>
          <w:sz w:val="32"/>
        </w:rPr>
        <w:t>Screening Strengths</w:t>
      </w:r>
    </w:p>
    <w:p>
      <w:pPr>
        <w:pStyle w:val="ListBullet"/>
        <w:spacing w:after="140" w:line="280" w:lineRule="auto"/>
        <w:ind w:left="720" w:hanging="360"/>
      </w:pPr>
      <w:r>
        <w:rPr>
          <w:rFonts w:ascii="Calibri" w:hAnsi="Calibri"/>
          <w:b w:val="0"/>
          <w:i w:val="0"/>
          <w:color w:val="000000"/>
          <w:sz w:val="22"/>
        </w:rPr>
        <w:t>Identity is marked verified in the applicant details.</w:t>
      </w:r>
    </w:p>
    <w:p>
      <w:pPr>
        <w:pStyle w:val="ListBullet"/>
        <w:spacing w:after="140" w:line="280" w:lineRule="auto"/>
        <w:ind w:left="720" w:hanging="360"/>
      </w:pPr>
      <w:r>
        <w:rPr>
          <w:rFonts w:ascii="Calibri" w:hAnsi="Calibri"/>
          <w:b w:val="0"/>
          <w:i w:val="0"/>
          <w:color w:val="000000"/>
          <w:sz w:val="22"/>
        </w:rPr>
        <w:t>Credit report shows a 706 VantageScore 4.0 score.</w:t>
      </w:r>
    </w:p>
    <w:p>
      <w:pPr>
        <w:pStyle w:val="ListBullet"/>
        <w:spacing w:after="140" w:line="280" w:lineRule="auto"/>
        <w:ind w:left="720" w:hanging="360"/>
      </w:pPr>
      <w:r>
        <w:rPr>
          <w:rFonts w:ascii="Calibri" w:hAnsi="Calibri"/>
          <w:b w:val="0"/>
          <w:i w:val="0"/>
          <w:color w:val="000000"/>
          <w:sz w:val="22"/>
        </w:rPr>
        <w:t>Credit report shows 100% on-time payments, no collections, no delinquent or derogatory account, and no bankruptcies found.</w:t>
      </w:r>
    </w:p>
    <w:p>
      <w:pPr>
        <w:pStyle w:val="ListBullet"/>
        <w:spacing w:after="140" w:line="280" w:lineRule="auto"/>
        <w:ind w:left="720" w:hanging="360"/>
      </w:pPr>
      <w:r>
        <w:rPr>
          <w:rFonts w:ascii="Calibri" w:hAnsi="Calibri"/>
          <w:b w:val="0"/>
          <w:i w:val="0"/>
          <w:color w:val="000000"/>
          <w:sz w:val="22"/>
        </w:rPr>
        <w:t>Background check reports no housing court records and no criminal records.</w:t>
      </w:r>
    </w:p>
    <w:p>
      <w:pPr>
        <w:pStyle w:val="ListBullet"/>
        <w:spacing w:after="140" w:line="280" w:lineRule="auto"/>
        <w:ind w:left="720" w:hanging="360"/>
      </w:pPr>
      <w:r>
        <w:rPr>
          <w:rFonts w:ascii="Calibri" w:hAnsi="Calibri"/>
          <w:b w:val="0"/>
          <w:i w:val="0"/>
          <w:color w:val="000000"/>
          <w:sz w:val="22"/>
        </w:rPr>
        <w:t>Rent verification letter supports timely rent payments during the tenancy.</w:t>
      </w:r>
    </w:p>
    <w:p>
      <w:pPr>
        <w:pStyle w:val="Heading1"/>
        <w:keepNext/>
        <w:spacing w:before="320" w:after="160"/>
      </w:pPr>
      <w:r>
        <w:rPr>
          <w:rFonts w:ascii="Calibri" w:hAnsi="Calibri"/>
          <w:b/>
          <w:i w:val="0"/>
          <w:color w:val="2E74B5"/>
          <w:sz w:val="32"/>
        </w:rPr>
        <w:t>Ability-To-Repay Findings</w:t>
      </w:r>
    </w:p>
    <w:p>
      <w:pPr>
        <w:pStyle w:val="Heading2"/>
        <w:keepNext/>
        <w:spacing w:before="200" w:after="100"/>
      </w:pPr>
      <w:r>
        <w:rPr>
          <w:rFonts w:ascii="Calibri" w:hAnsi="Calibri"/>
          <w:b/>
          <w:i w:val="0"/>
          <w:color w:val="2E74B5"/>
          <w:sz w:val="26"/>
        </w:rPr>
        <w:t>Income And Business Cash Flow</w:t>
      </w:r>
    </w:p>
    <w:p>
      <w:pPr>
        <w:spacing w:before="0" w:after="120" w:line="264" w:lineRule="auto"/>
      </w:pPr>
      <w:r>
        <w:rPr>
          <w:rFonts w:ascii="Calibri" w:hAnsi="Calibri"/>
          <w:b w:val="0"/>
          <w:i w:val="0"/>
          <w:color w:val="000000"/>
          <w:sz w:val="22"/>
        </w:rPr>
        <w:t>Applicant details state self-employment income of $9,500/month. The new Matthew Flooring LLC business statements now support active business cash flow, but they do not verify personal net income without tax returns, a profit-and-loss statement, ownership/compensation records, and owner-draw analysis.</w:t>
      </w:r>
    </w:p>
    <w:p>
      <w:r>
        <w:br w:type="page"/>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rPr>
                <w:rFonts w:ascii="Calibri" w:hAnsi="Calibri"/>
                <w:b/>
                <w:i w:val="0"/>
                <w:color w:val="000000"/>
                <w:sz w:val="21"/>
              </w:rPr>
              <w:t>Business Statement Summary</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Unique business statements reviewed</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16 unique statements; one August/September 2025 business statement appears duplicated or mislabeled.</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Business deposits/credits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$434,462.90 total; $27,153.93 average per month.</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Business withdrawals/debits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$433,300.52 total; $27,081.28 average per month.</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Average monthly net account increase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$72.65 across the unique business statement set.</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2026 business average deposits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$24,631.93/month from January through May 2026.</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2026 business average net increase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$528.82/month from January through May 2026.</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Latest business ending balance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$5,058.11 on the May 31, 2026 statement.</w:t>
            </w:r>
          </w:p>
        </w:tc>
      </w:tr>
    </w:tbl>
    <w:p>
      <w:pPr>
        <w:spacing w:before="0" w:after="40" w:line="264" w:lineRule="auto"/>
      </w:pPr>
    </w:p>
    <w:p>
      <w:pPr>
        <w:pStyle w:val="Heading2"/>
        <w:keepNext/>
        <w:spacing w:before="200" w:after="100"/>
      </w:pPr>
      <w:r>
        <w:rPr>
          <w:rFonts w:ascii="Calibri" w:hAnsi="Calibri"/>
          <w:b/>
          <w:i w:val="0"/>
          <w:color w:val="2E74B5"/>
          <w:sz w:val="26"/>
        </w:rPr>
        <w:t>Debt Burden</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rPr>
                <w:rFonts w:ascii="Calibri" w:hAnsi="Calibri"/>
                <w:b/>
                <w:i w:val="0"/>
                <w:color w:val="000000"/>
                <w:sz w:val="21"/>
              </w:rPr>
              <w:t>Credit Report Debt Summary</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Estimated monthly debt payments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$2,162</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Total debt</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$86,790</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Open auto-loan balances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$16,536; $19,112; $22,864; $28,278</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Credit-card balance shown</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$0 on Capital One account</w:t>
            </w:r>
          </w:p>
        </w:tc>
      </w:tr>
    </w:tbl>
    <w:p>
      <w:pPr>
        <w:spacing w:before="0" w:after="40" w:line="264" w:lineRule="auto"/>
      </w:pPr>
    </w:p>
    <w:p>
      <w:r>
        <w:br w:type="page"/>
      </w:r>
    </w:p>
    <w:p>
      <w:pPr>
        <w:pStyle w:val="Heading2"/>
        <w:keepNext/>
        <w:spacing w:before="200" w:after="100"/>
      </w:pPr>
      <w:r>
        <w:rPr>
          <w:rFonts w:ascii="Calibri" w:hAnsi="Calibri"/>
          <w:b/>
          <w:i w:val="0"/>
          <w:color w:val="2E74B5"/>
          <w:sz w:val="26"/>
        </w:rPr>
        <w:t>Payment Ratios</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rPr>
                <w:rFonts w:ascii="Calibri" w:hAnsi="Calibri"/>
                <w:b/>
                <w:i w:val="0"/>
                <w:color w:val="000000"/>
                <w:sz w:val="21"/>
              </w:rPr>
              <w:t>Ratio Test</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Housing ratio using stated income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$2,701 / $9,500 = 28.4%</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Back-end ratio using stated income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($2,701 + $2,162) / $9,500 = 51.2%</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Underwriting interpretation</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The housing ratio may look plausible alone, but the back-end ratio is high for a conservative ability-to-repay file. Gross business deposits should not be used as income without net-income verification.</w:t>
            </w:r>
          </w:p>
        </w:tc>
      </w:tr>
    </w:tbl>
    <w:p>
      <w:pPr>
        <w:spacing w:before="0" w:after="40" w:line="264" w:lineRule="auto"/>
      </w:pPr>
    </w:p>
    <w:p>
      <w:pPr>
        <w:pStyle w:val="Heading2"/>
        <w:keepNext/>
        <w:spacing w:before="200" w:after="100"/>
      </w:pPr>
      <w:r>
        <w:rPr>
          <w:rFonts w:ascii="Calibri" w:hAnsi="Calibri"/>
          <w:b/>
          <w:i w:val="0"/>
          <w:color w:val="2E74B5"/>
          <w:sz w:val="26"/>
        </w:rPr>
        <w:t>Cash To Close And Reserves</w:t>
      </w:r>
    </w:p>
    <w:p>
      <w:pPr>
        <w:spacing w:before="0" w:after="120" w:line="264" w:lineRule="auto"/>
      </w:pPr>
      <w:r>
        <w:rPr>
          <w:rFonts w:ascii="Calibri" w:hAnsi="Calibri"/>
          <w:b w:val="0"/>
          <w:i w:val="0"/>
          <w:color w:val="000000"/>
          <w:sz w:val="22"/>
        </w:rPr>
        <w:t>The new business bank statements still do not prove cash to close. The latest business statement ending balance is $5,058.11 and the latest provided personal statement ending balance is $503.73. Those balances do not prove the $6,000 earnest money, $20,790 total down payment, closing funds, and post-closing reserves.</w:t>
      </w:r>
    </w:p>
    <w:p>
      <w:pPr>
        <w:pStyle w:val="Heading1"/>
        <w:keepNext/>
        <w:spacing w:before="320" w:after="160"/>
      </w:pPr>
      <w:r>
        <w:rPr>
          <w:rFonts w:ascii="Calibri" w:hAnsi="Calibri"/>
          <w:b/>
          <w:i w:val="0"/>
          <w:color w:val="2E74B5"/>
          <w:sz w:val="32"/>
        </w:rPr>
        <w:t>Decision</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rPr>
                <w:rFonts w:ascii="Calibri" w:hAnsi="Calibri"/>
                <w:b/>
                <w:i w:val="0"/>
                <w:color w:val="9B1C1C"/>
                <w:sz w:val="22"/>
              </w:rPr>
              <w:t>Preliminary Decision</w:t>
            </w:r>
          </w:p>
          <w:p>
            <w:pPr>
              <w:spacing w:line="264" w:lineRule="auto"/>
            </w:pPr>
            <w:r>
              <w:rPr>
                <w:rFonts w:ascii="Calibri" w:hAnsi="Calibri"/>
                <w:b w:val="0"/>
                <w:i w:val="0"/>
                <w:color w:val="000000"/>
                <w:sz w:val="21"/>
              </w:rPr>
              <w:t>Do not approve the buyer from the current file. The new documents support conditional reconsideration, not approval. Approval should wait for verified net self-employment income, proof of down payment and reserves, current personal bank statements, and attorney/compliance review.</w:t>
            </w:r>
          </w:p>
        </w:tc>
      </w:tr>
    </w:tbl>
    <w:p>
      <w:pPr>
        <w:spacing w:before="0" w:after="40" w:line="264" w:lineRule="auto"/>
      </w:pPr>
    </w:p>
    <w:p>
      <w:pPr>
        <w:pStyle w:val="Heading1"/>
        <w:keepNext/>
        <w:spacing w:before="320" w:after="160"/>
      </w:pPr>
      <w:r>
        <w:rPr>
          <w:rFonts w:ascii="Calibri" w:hAnsi="Calibri"/>
          <w:b/>
          <w:i w:val="0"/>
          <w:color w:val="2E74B5"/>
          <w:sz w:val="32"/>
        </w:rPr>
        <w:t>Documents Required Before Reconsideration</w:t>
      </w:r>
    </w:p>
    <w:p>
      <w:pPr>
        <w:pStyle w:val="ListNumber"/>
        <w:spacing w:after="140" w:line="280" w:lineRule="auto"/>
        <w:ind w:left="720" w:hanging="360"/>
      </w:pPr>
      <w:r>
        <w:rPr>
          <w:rFonts w:ascii="Calibri" w:hAnsi="Calibri"/>
          <w:b w:val="0"/>
          <w:i w:val="0"/>
          <w:color w:val="000000"/>
          <w:sz w:val="22"/>
        </w:rPr>
        <w:t>Legal name and ID for each buyer or obligor.</w:t>
      </w:r>
    </w:p>
    <w:p>
      <w:pPr>
        <w:pStyle w:val="ListNumber"/>
        <w:spacing w:after="140" w:line="280" w:lineRule="auto"/>
        <w:ind w:left="720" w:hanging="360"/>
      </w:pPr>
      <w:r>
        <w:rPr>
          <w:rFonts w:ascii="Calibri" w:hAnsi="Calibri"/>
          <w:b w:val="0"/>
          <w:i w:val="0"/>
          <w:color w:val="000000"/>
          <w:sz w:val="22"/>
        </w:rPr>
        <w:t>Current 2026 personal bank statements through the application month.</w:t>
      </w:r>
    </w:p>
    <w:p>
      <w:pPr>
        <w:pStyle w:val="ListNumber"/>
        <w:spacing w:after="140" w:line="280" w:lineRule="auto"/>
        <w:ind w:left="720" w:hanging="360"/>
      </w:pPr>
      <w:r>
        <w:rPr>
          <w:rFonts w:ascii="Calibri" w:hAnsi="Calibri"/>
          <w:b w:val="0"/>
          <w:i w:val="0"/>
          <w:color w:val="000000"/>
          <w:sz w:val="22"/>
        </w:rPr>
        <w:t>Self-employment income package: tax returns, year-to-date profit-and-loss, 1099s, invoices/contracts, payroll or owner-draw records, and customer/payment verification where available.</w:t>
      </w:r>
    </w:p>
    <w:p>
      <w:pPr>
        <w:pStyle w:val="ListNumber"/>
        <w:spacing w:after="140" w:line="280" w:lineRule="auto"/>
        <w:ind w:left="720" w:hanging="360"/>
      </w:pPr>
      <w:r>
        <w:rPr>
          <w:rFonts w:ascii="Calibri" w:hAnsi="Calibri"/>
          <w:b w:val="0"/>
          <w:i w:val="0"/>
          <w:color w:val="000000"/>
          <w:sz w:val="22"/>
        </w:rPr>
        <w:t>Explanation of Ever's ownership, officer role, or compensation relationship with Matthew Flooring LLC.</w:t>
      </w:r>
    </w:p>
    <w:p>
      <w:pPr>
        <w:pStyle w:val="ListNumber"/>
        <w:spacing w:after="140" w:line="280" w:lineRule="auto"/>
        <w:ind w:left="720" w:hanging="360"/>
      </w:pPr>
      <w:r>
        <w:rPr>
          <w:rFonts w:ascii="Calibri" w:hAnsi="Calibri"/>
          <w:b w:val="0"/>
          <w:i w:val="0"/>
          <w:color w:val="000000"/>
          <w:sz w:val="22"/>
        </w:rPr>
        <w:t>Explanation and documentation for material non-routine transfer activity, including Kimberly Terrill activity and outgoing "Yo Ever" transfers.</w:t>
      </w:r>
    </w:p>
    <w:p>
      <w:pPr>
        <w:pStyle w:val="ListNumber"/>
        <w:spacing w:after="140" w:line="280" w:lineRule="auto"/>
        <w:ind w:left="720" w:hanging="360"/>
      </w:pPr>
      <w:r>
        <w:rPr>
          <w:rFonts w:ascii="Calibri" w:hAnsi="Calibri"/>
          <w:b w:val="0"/>
          <w:i w:val="0"/>
          <w:color w:val="000000"/>
          <w:sz w:val="22"/>
        </w:rPr>
        <w:t>Current debt obligations and monthly payments, including whether the auto loans will remain after closing.</w:t>
      </w:r>
    </w:p>
    <w:p>
      <w:pPr>
        <w:pStyle w:val="ListNumber"/>
        <w:spacing w:after="140" w:line="280" w:lineRule="auto"/>
        <w:ind w:left="720" w:hanging="360"/>
      </w:pPr>
      <w:r>
        <w:rPr>
          <w:rFonts w:ascii="Calibri" w:hAnsi="Calibri"/>
          <w:b w:val="0"/>
          <w:i w:val="0"/>
          <w:color w:val="000000"/>
          <w:sz w:val="22"/>
        </w:rPr>
        <w:t>Proof of down payment, earnest money source, closing funds, and reserves.</w:t>
      </w:r>
    </w:p>
    <w:p>
      <w:pPr>
        <w:pStyle w:val="ListNumber"/>
        <w:spacing w:after="140" w:line="280" w:lineRule="auto"/>
        <w:ind w:left="720" w:hanging="360"/>
      </w:pPr>
      <w:r>
        <w:rPr>
          <w:rFonts w:ascii="Calibri" w:hAnsi="Calibri"/>
          <w:b w:val="0"/>
          <w:i w:val="0"/>
          <w:color w:val="000000"/>
          <w:sz w:val="22"/>
        </w:rPr>
        <w:t>Final proposed payment schedule and escrow breakdown.</w:t>
      </w:r>
    </w:p>
    <w:p>
      <w:pPr>
        <w:pStyle w:val="ListNumber"/>
        <w:spacing w:after="140" w:line="280" w:lineRule="auto"/>
        <w:ind w:left="720" w:hanging="360"/>
      </w:pPr>
      <w:r>
        <w:rPr>
          <w:rFonts w:ascii="Calibri" w:hAnsi="Calibri"/>
          <w:b w:val="0"/>
          <w:i w:val="0"/>
          <w:color w:val="000000"/>
          <w:sz w:val="22"/>
        </w:rPr>
        <w:t>Attorney review of seller-financing compliance and any adverse-action or conditional-approval notice requirements.</w:t>
      </w:r>
    </w:p>
    <w:p>
      <w:pPr>
        <w:pStyle w:val="Heading1"/>
        <w:keepNext/>
        <w:spacing w:before="320" w:after="160"/>
      </w:pPr>
      <w:r>
        <w:rPr>
          <w:rFonts w:ascii="Calibri" w:hAnsi="Calibri"/>
          <w:b/>
          <w:i w:val="0"/>
          <w:color w:val="2E74B5"/>
          <w:sz w:val="32"/>
        </w:rPr>
        <w:t>Compliance And Use Limitations</w:t>
      </w:r>
    </w:p>
    <w:p>
      <w:pPr>
        <w:pStyle w:val="ListBullet"/>
        <w:spacing w:after="140" w:line="280" w:lineRule="auto"/>
        <w:ind w:left="720" w:hanging="360"/>
      </w:pPr>
      <w:r>
        <w:rPr>
          <w:rFonts w:ascii="Calibri" w:hAnsi="Calibri"/>
          <w:b w:val="0"/>
          <w:i w:val="0"/>
          <w:color w:val="000000"/>
          <w:sz w:val="22"/>
        </w:rPr>
        <w:t>This report is a preliminary business and file-completeness review, not legal advice.</w:t>
      </w:r>
    </w:p>
    <w:p>
      <w:pPr>
        <w:pStyle w:val="ListBullet"/>
        <w:spacing w:after="140" w:line="280" w:lineRule="auto"/>
        <w:ind w:left="720" w:hanging="360"/>
      </w:pPr>
      <w:r>
        <w:rPr>
          <w:rFonts w:ascii="Calibri" w:hAnsi="Calibri"/>
          <w:b w:val="0"/>
          <w:i w:val="0"/>
          <w:color w:val="000000"/>
          <w:sz w:val="22"/>
        </w:rPr>
        <w:t>Attorney review remains required for seller-financer, Dodd-Frank, Regulation Z, North Carolina law, and adverse-action notice questions.</w:t>
      </w:r>
    </w:p>
    <w:p>
      <w:pPr>
        <w:pStyle w:val="ListBullet"/>
        <w:spacing w:after="140" w:line="280" w:lineRule="auto"/>
        <w:ind w:left="720" w:hanging="360"/>
      </w:pPr>
      <w:r>
        <w:rPr>
          <w:rFonts w:ascii="Calibri" w:hAnsi="Calibri"/>
          <w:b w:val="0"/>
          <w:i w:val="0"/>
          <w:color w:val="000000"/>
          <w:sz w:val="22"/>
        </w:rPr>
        <w:t>If the buyer is declined or approved only with changed terms, counsel should confirm whether Equal Credit Opportunity Act or Fair Credit Reporting Act notices are required.</w:t>
      </w:r>
    </w:p>
    <w:p>
      <w:pPr>
        <w:pStyle w:val="ListBullet"/>
        <w:spacing w:after="140" w:line="280" w:lineRule="auto"/>
        <w:ind w:left="720" w:hanging="360"/>
      </w:pPr>
      <w:r>
        <w:rPr>
          <w:rFonts w:ascii="Calibri" w:hAnsi="Calibri"/>
          <w:b w:val="0"/>
          <w:i w:val="0"/>
          <w:color w:val="000000"/>
          <w:sz w:val="22"/>
        </w:rPr>
        <w:t>Any approval reconsideration should be documented with a fresh ability-to-repay worksheet using verified net income and reserve evidence.</w:t>
      </w:r>
    </w:p>
    <w:p>
      <w:pPr>
        <w:pStyle w:val="Heading1"/>
        <w:keepNext/>
        <w:spacing w:before="320" w:after="160"/>
      </w:pPr>
      <w:r>
        <w:rPr>
          <w:rFonts w:ascii="Calibri" w:hAnsi="Calibri"/>
          <w:b/>
          <w:i w:val="0"/>
          <w:color w:val="2E74B5"/>
          <w:sz w:val="32"/>
        </w:rPr>
        <w:t>Prepared By</w:t>
      </w:r>
    </w:p>
    <w:p>
      <w:pPr>
        <w:spacing w:before="0" w:after="120" w:line="264" w:lineRule="auto"/>
      </w:pPr>
      <w:r>
        <w:rPr>
          <w:rFonts w:ascii="Calibri" w:hAnsi="Calibri"/>
          <w:b/>
          <w:i w:val="0"/>
          <w:color w:val="000000"/>
          <w:sz w:val="22"/>
        </w:rPr>
        <w:t>Investment Services, LLC</w:t>
      </w:r>
    </w:p>
    <w:p>
      <w:pPr>
        <w:spacing w:before="0" w:after="120" w:line="264" w:lineRule="auto"/>
      </w:pPr>
      <w:r>
        <w:rPr>
          <w:rFonts w:ascii="Calibri" w:hAnsi="Calibri"/>
          <w:b w:val="0"/>
          <w:i w:val="0"/>
          <w:color w:val="000000"/>
          <w:sz w:val="22"/>
        </w:rPr>
        <w:t>For internal Buy Your Home review and attorney/compliance follow-up.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5A5A"/>
        <w:sz w:val="17"/>
      </w:rPr>
      <w:t>Confidential preliminary review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5A5A"/>
        <w:sz w:val="18"/>
      </w:rPr>
      <w:t>Investment Services, LLC | Creditworthiness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E2A4621-EDD5-4D06-8419-34EAD3FC52C8}"/>
</file>

<file path=customXml/itemProps3.xml><?xml version="1.0" encoding="utf-8"?>
<ds:datastoreItem xmlns:ds="http://schemas.openxmlformats.org/officeDocument/2006/customXml" ds:itemID="{190D6ECC-9264-4BC3-8753-15B246DE2386}"/>
</file>

<file path=customXml/itemProps4.xml><?xml version="1.0" encoding="utf-8"?>
<ds:datastoreItem xmlns:ds="http://schemas.openxmlformats.org/officeDocument/2006/customXml" ds:itemID="{5DABFF45-1458-4547-AB14-BACB6494965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Creditworthiness Evaluation Report - 320 Rose Pl</dc:title>
  <dc:subject>Updated buyer creditworthiness evaluation for proposed seller-financed purchase</dc:subject>
  <dc:creator>Investment Services, LLC</dc:creator>
  <cp:keywords/>
  <dc:description>Prepared by Investment Services, LLC from project room source materials.</dc:description>
  <cp:lastModifiedBy>Investment Services, LLC</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