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sz w:val="30"/>
        </w:rPr>
        <w:t>UPDATED CREDITWORTHINESS EVALUATION REPORT</w:t>
      </w:r>
    </w:p>
    <w:p>
      <w:pPr>
        <w:jc w:val="center"/>
      </w:pPr>
      <w:r>
        <w:rPr>
          <w:rFonts w:ascii="Aptos" w:hAnsi="Aptos" w:eastAsia="Aptos"/>
          <w:b/>
          <w:sz w:val="21"/>
        </w:rPr>
        <w:t>Receipts and Signed Cash-Reserve Affidavit Rerun for Ever Amarildo Cardoza Bolanos - 320 Rose Pl / Rose Place</w:t>
      </w:r>
    </w:p>
    <w:p>
      <w:pPr>
        <w:jc w:val="center"/>
      </w:pPr>
      <w:r>
        <w:rPr>
          <w:rFonts w:ascii="Aptos" w:hAnsi="Aptos" w:eastAsia="Aptos"/>
        </w:rPr>
        <w:t>Prepared by Investment Services, LLC for Sell Your Home review | Report date: June 8, 2026 | Version 8</w:t>
      </w:r>
    </w:p>
    <w:p>
      <w:r>
        <w:rPr>
          <w:rFonts w:ascii="Aptos" w:hAnsi="Aptos" w:eastAsia="Aptos"/>
          <w:b/>
          <w:sz w:val="24"/>
        </w:rPr>
        <w:t>Executive Decision</w:t>
      </w:r>
    </w:p>
    <w:p>
      <w:pPr>
        <w:spacing w:after="100" w:line="252" w:lineRule="auto"/>
      </w:pPr>
      <w:r>
        <w:rPr>
          <w:rFonts w:ascii="Aptos" w:hAnsi="Aptos" w:eastAsia="Aptos"/>
        </w:rPr>
        <w:t>Recommendation: conditional approval is supportable as a documented tenant-buyer exception, subject to final verification and attorney/compliance review. The uploaded receipt package materially strengthens the stated-income file because the twelve receipts marked paid support gross cash receipts close to the buyer's stated $9,500/month income. The signed cash-reserve affidavit also improves the cash-to-close record.</w:t>
      </w:r>
    </w:p>
    <w:p>
      <w:pPr>
        <w:spacing w:after="100" w:line="252" w:lineRule="auto"/>
      </w:pPr>
      <w:r>
        <w:rPr>
          <w:rFonts w:ascii="Aptos" w:hAnsi="Aptos" w:eastAsia="Aptos"/>
        </w:rPr>
        <w:t>This is not an unconditional approval. The receipt package supports gross cash receipts, not audited net self-employment income. The final file should retain the exception rationale, the related-company rent-history record, the receipt images, final debt confirmation, acceptable reserve proof, and counsel review of the seller-financing structure.</w:t>
      </w:r>
    </w:p>
    <w:p>
      <w:r>
        <w:rPr>
          <w:rFonts w:ascii="Aptos" w:hAnsi="Aptos" w:eastAsia="Aptos"/>
          <w:b/>
          <w:sz w:val="24"/>
        </w:rPr>
        <w:t>What Changed In This Rerun</w:t>
      </w:r>
    </w:p>
    <w:p>
      <w:pPr>
        <w:pStyle w:val="ListBullet"/>
        <w:spacing w:after="40"/>
      </w:pPr>
      <w:r>
        <w:rPr>
          <w:rFonts w:ascii="Aptos" w:hAnsi="Aptos" w:eastAsia="Aptos"/>
        </w:rPr>
        <w:t>New scanned handwritten receipts marked paid were reviewed for the period June 2025 through May 2026.</w:t>
      </w:r>
    </w:p>
    <w:p>
      <w:pPr>
        <w:pStyle w:val="ListBullet"/>
        <w:spacing w:after="40"/>
      </w:pPr>
      <w:r>
        <w:rPr>
          <w:rFonts w:ascii="Aptos" w:hAnsi="Aptos" w:eastAsia="Aptos"/>
        </w:rPr>
        <w:t>The twelve paid receipts total $112,922.25 by written receipt totals, averaging $9,410.19/month.</w:t>
      </w:r>
    </w:p>
    <w:p>
      <w:pPr>
        <w:pStyle w:val="ListBullet"/>
        <w:spacing w:after="40"/>
      </w:pPr>
      <w:r>
        <w:rPr>
          <w:rFonts w:ascii="Aptos" w:hAnsi="Aptos" w:eastAsia="Aptos"/>
        </w:rPr>
        <w:t>Two additional June 2026 receipts are marked due or balance due and total $14,000; they are treated as open receivables, not paid income.</w:t>
      </w:r>
    </w:p>
    <w:p>
      <w:pPr>
        <w:pStyle w:val="ListBullet"/>
        <w:spacing w:after="40"/>
      </w:pPr>
      <w:r>
        <w:rPr>
          <w:rFonts w:ascii="Aptos" w:hAnsi="Aptos" w:eastAsia="Aptos"/>
        </w:rPr>
        <w:t>A newer signed cash-reserve affidavit PDF was reviewed. It states $24,000 counted cash, $14,000 accounts receivable, and $10,000 access to funds in El Salvador, for stated reserves of $48,000.</w:t>
      </w:r>
    </w:p>
    <w:p>
      <w:pPr>
        <w:pStyle w:val="ListBullet"/>
        <w:spacing w:after="40"/>
      </w:pPr>
      <w:r>
        <w:rPr>
          <w:rFonts w:ascii="Aptos" w:hAnsi="Aptos" w:eastAsia="Aptos"/>
        </w:rPr>
        <w:t>The report now recognizes that Ever currently rents through Buy Your Home, LLC, a related company/current landlord, so rent history is used as a related-company tenant-buyer exception factor rather than independent third-party landlord verification.</w:t>
      </w:r>
    </w:p>
    <w:p>
      <w:r>
        <w:rPr>
          <w:rFonts w:ascii="Aptos" w:hAnsi="Aptos" w:eastAsia="Aptos"/>
          <w:b/>
          <w:sz w:val="24"/>
        </w:rP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Current file support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Buyer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Ever Amarildo Cardoza Bolanos, subject to final legal-name confirmation.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Property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320 Rose Pl / Rose Place.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Proposed price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$346,500 implied by 6% down payment of $20,790.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Proposed payment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$2,701/month including principal, interest, taxes, and insurance escrow, subject to final schedule.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Current rent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$1,850/month per Buy Your Home rent verification; applicant details show $1,885/month.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Rent history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Verified internally by Buy Your Home, LLC as timely from July 2025 through June 2026; related-company source.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$9,500/month self-employment income from applicant details.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Credit report debt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$2,162/month estimated monthly debt payments; $86,790 total debt.</w:t>
            </w:r>
          </w:p>
        </w:tc>
      </w:tr>
    </w:tbl>
    <w:p>
      <w:r>
        <w:rPr>
          <w:rFonts w:ascii="Aptos" w:hAnsi="Aptos" w:eastAsia="Aptos"/>
          <w:b/>
          <w:sz w:val="24"/>
        </w:rPr>
        <w:t>Screening Strengths</w:t>
      </w:r>
    </w:p>
    <w:p>
      <w:pPr>
        <w:pStyle w:val="ListBullet"/>
        <w:spacing w:after="40"/>
      </w:pPr>
      <w:r>
        <w:rPr>
          <w:rFonts w:ascii="Aptos" w:hAnsi="Aptos" w:eastAsia="Aptos"/>
        </w:rPr>
        <w:t>Identity is marked verified in applicant details.</w:t>
      </w:r>
    </w:p>
    <w:p>
      <w:pPr>
        <w:pStyle w:val="ListBullet"/>
        <w:spacing w:after="40"/>
      </w:pPr>
      <w:r>
        <w:rPr>
          <w:rFonts w:ascii="Aptos" w:hAnsi="Aptos" w:eastAsia="Aptos"/>
        </w:rPr>
        <w:t>Credit report shows a 706 VantageScore 4.0 score.</w:t>
      </w:r>
    </w:p>
    <w:p>
      <w:pPr>
        <w:pStyle w:val="ListBullet"/>
        <w:spacing w:after="40"/>
      </w:pPr>
      <w:r>
        <w:rPr>
          <w:rFonts w:ascii="Aptos" w:hAnsi="Aptos" w:eastAsia="Aptos"/>
        </w:rPr>
        <w:t>Credit report shows 100% on-time payments, no collections, no delinquent or derogatory account, and no bankruptcies found.</w:t>
      </w:r>
    </w:p>
    <w:p>
      <w:pPr>
        <w:pStyle w:val="ListBullet"/>
        <w:spacing w:after="40"/>
      </w:pPr>
      <w:r>
        <w:rPr>
          <w:rFonts w:ascii="Aptos" w:hAnsi="Aptos" w:eastAsia="Aptos"/>
        </w:rPr>
        <w:t>Background check reports no housing court records and no criminal records.</w:t>
      </w:r>
    </w:p>
    <w:p>
      <w:pPr>
        <w:pStyle w:val="ListBullet"/>
        <w:spacing w:after="40"/>
      </w:pPr>
      <w:r>
        <w:rPr>
          <w:rFonts w:ascii="Aptos" w:hAnsi="Aptos" w:eastAsia="Aptos"/>
        </w:rPr>
        <w:t>Related-company rent verification supports timely rent payments during the tenancy.</w:t>
      </w:r>
    </w:p>
    <w:p>
      <w:pPr>
        <w:pStyle w:val="ListBullet"/>
        <w:spacing w:after="40"/>
      </w:pPr>
      <w:r>
        <w:rPr>
          <w:rFonts w:ascii="Aptos" w:hAnsi="Aptos" w:eastAsia="Aptos"/>
        </w:rPr>
        <w:t>Business statements show active Matthew Flooring LLC cash flow through May 2026.</w:t>
      </w:r>
    </w:p>
    <w:p>
      <w:pPr>
        <w:pStyle w:val="ListBullet"/>
        <w:spacing w:after="40"/>
      </w:pPr>
      <w:r>
        <w:rPr>
          <w:rFonts w:ascii="Aptos" w:hAnsi="Aptos" w:eastAsia="Aptos"/>
        </w:rPr>
        <w:t>The new paid receipts provide direct source-file support for substantial off-account gross receipts.</w:t>
      </w:r>
    </w:p>
    <w:p>
      <w:r>
        <w:rPr>
          <w:rFonts w:ascii="Aptos" w:hAnsi="Aptos" w:eastAsia="Aptos"/>
          <w:b/>
          <w:sz w:val="24"/>
        </w:rPr>
        <w:t>Receipt Review</w:t>
      </w:r>
    </w:p>
    <w:p>
      <w:pPr>
        <w:spacing w:after="100" w:line="252" w:lineRule="auto"/>
      </w:pPr>
      <w:r>
        <w:rPr>
          <w:rFonts w:ascii="Aptos" w:hAnsi="Aptos" w:eastAsia="Aptos"/>
        </w:rPr>
        <w:t>The receipt images are handwritten and scanned. They are useful as supporting evidence of customer cash receipts for flooring work, but they are not a substitute for tax returns, a year-to-date profit-and-loss statement, accountant/bookkeeper support, or customer verification if those are required by the final approval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Receipt group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Treatment in this report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12 receipts marked paid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Gross cash receipts support; not audited net income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$112,922.25 total / $9,410.19 monthly average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2 June 2026 receipts marked due/balance due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Open receivables only unless collected and verified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$14,000.00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Stated income comparison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Paid receipts are close to stated self-employment income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$9,500/month stated income</w:t>
            </w:r>
          </w:p>
        </w:tc>
      </w:tr>
    </w:tbl>
    <w:p>
      <w:r>
        <w:rPr>
          <w:rFonts w:ascii="Aptos" w:hAnsi="Aptos" w:eastAsia="Aptos"/>
          <w:b/>
          <w:sz w:val="24"/>
        </w:rPr>
        <w:t>Ability-To-Repay Findings</w:t>
      </w:r>
    </w:p>
    <w:p>
      <w:pPr>
        <w:spacing w:after="100" w:line="252" w:lineRule="auto"/>
      </w:pPr>
      <w:r>
        <w:rPr>
          <w:rFonts w:ascii="Aptos" w:hAnsi="Aptos" w:eastAsia="Aptos"/>
        </w:rPr>
        <w:t>Using stated income of $9,500/month, the proposed $2,701 housing payment equals a 28.4% housing ratio. Proposed housing plus the credit-report estimated monthly debt of $2,162 equals $4,863/month, or a 51.2% back-end ratio. That back-end ratio is high under a conservative underwriting view, but the exception analysis is stronger than prior versions because the paid receipts now substantially corroborate the stated gross cash receipts and the buyer has a documented one-year payment history with the related company/current landlord.</w:t>
      </w:r>
    </w:p>
    <w:p>
      <w:pPr>
        <w:spacing w:after="100" w:line="252" w:lineRule="auto"/>
      </w:pPr>
      <w:r>
        <w:rPr>
          <w:rFonts w:ascii="Aptos" w:hAnsi="Aptos" w:eastAsia="Aptos"/>
        </w:rPr>
        <w:t>Using the paid receipts alone, average gross receipts are $9,410.19/month. The difference from the stated $9,500/month is approximately $89.81/month. That is close enough to support the stated-income narrative if Sell Your Home accepts receipt-based gross cash receipts, related-company rent history, and business-judgment exception documentation. It still does not prove net income after business expenses.</w:t>
      </w:r>
    </w:p>
    <w:p>
      <w:r>
        <w:rPr>
          <w:rFonts w:ascii="Aptos" w:hAnsi="Aptos" w:eastAsia="Aptos"/>
          <w:b/>
          <w:sz w:val="24"/>
        </w:rPr>
        <w:t>Tenant-Buyer Exception</w:t>
      </w:r>
    </w:p>
    <w:p>
      <w:pPr>
        <w:spacing w:after="100" w:line="252" w:lineRule="auto"/>
      </w:pPr>
      <w:r>
        <w:rPr>
          <w:rFonts w:ascii="Aptos" w:hAnsi="Aptos" w:eastAsia="Aptos"/>
        </w:rPr>
        <w:t>Ever has reportedly paid rent on time for approximately one year through Buy Your Home, LLC, a related company/current landlord. The proposed payment is about $851/month higher than the verified $1,850 rent. Because the buyer has already carried rent plus the existing credit-report debt, the practical increase in documented monthly burden is limited relative to the debt already being serviced.</w:t>
      </w:r>
    </w:p>
    <w:p>
      <w:pPr>
        <w:spacing w:after="100" w:line="252" w:lineRule="auto"/>
      </w:pPr>
      <w:r>
        <w:rPr>
          <w:rFonts w:ascii="Aptos" w:hAnsi="Aptos" w:eastAsia="Aptos"/>
        </w:rPr>
        <w:t>This exception should be documented as a business-judgment factor, not as a waiver of ability-to-repay review. The file should clearly state that the rent-history source is related-company/seller-adjacent and that final approval depends on Sell Your Home accepting that source as sufficient for its tenant-buyer exception record.</w:t>
      </w:r>
    </w:p>
    <w:p>
      <w:r>
        <w:rPr>
          <w:rFonts w:ascii="Aptos" w:hAnsi="Aptos" w:eastAsia="Aptos"/>
          <w:b/>
          <w:sz w:val="24"/>
        </w:rPr>
        <w:t>Cash To Close And Reserves</w:t>
      </w:r>
    </w:p>
    <w:p>
      <w:pPr>
        <w:spacing w:after="100" w:line="252" w:lineRule="auto"/>
      </w:pPr>
      <w:r>
        <w:rPr>
          <w:rFonts w:ascii="Aptos" w:hAnsi="Aptos" w:eastAsia="Aptos"/>
        </w:rPr>
        <w:t>The signed cash-reserve affidavit states that $24,000 cash was personally counted on or about June 8, 2026. That amount appears sufficient to cover the stated $20,790 down payment before closing costs. The same affidavit states that $14,000 of accounts receivable were seen and that Ever reported ready access to $10,000 in El Salvador, for stated total reserves of $48,000.</w:t>
      </w:r>
    </w:p>
    <w:p>
      <w:pPr>
        <w:spacing w:after="100" w:line="252" w:lineRule="auto"/>
      </w:pPr>
      <w:r>
        <w:rPr>
          <w:rFonts w:ascii="Aptos" w:hAnsi="Aptos" w:eastAsia="Aptos"/>
        </w:rPr>
        <w:t>The reserve file is stronger, but not perfect. The notary block on the scanned affidavit is blank. The $14,000 receivables and $10,000 foreign-access funds should be treated as supporting reserve evidence unless collected, transferred, or otherwise verified. If the final file requires notarized reserve proof, obtain a notarized version or other acceptable funds-to-close documentation.</w:t>
      </w:r>
    </w:p>
    <w:p>
      <w:r>
        <w:rPr>
          <w:rFonts w:ascii="Aptos" w:hAnsi="Aptos" w:eastAsia="Aptos"/>
          <w:b/>
          <w:sz w:val="24"/>
        </w:rPr>
        <w:t>Conditions Required Before Final Approval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final legal name for each buyer or obligor. Passport image supports Ever Amarildo Cardoza Bolanos; Zillow materials show Ever Amarildo Cardoza.</w:t>
      </w:r>
    </w:p>
    <w:p>
      <w:pPr>
        <w:pStyle w:val="ListBullet"/>
        <w:spacing w:after="40"/>
      </w:pPr>
      <w:r>
        <w:rPr>
          <w:rFonts w:ascii="Aptos" w:hAnsi="Aptos" w:eastAsia="Aptos"/>
        </w:rPr>
        <w:t>Retain the Buy Your Home, LLC rent verification and identify it as related-company/current-landlord payment-history evidence.</w:t>
      </w:r>
    </w:p>
    <w:p>
      <w:pPr>
        <w:pStyle w:val="ListBullet"/>
        <w:spacing w:after="40"/>
      </w:pPr>
      <w:r>
        <w:rPr>
          <w:rFonts w:ascii="Aptos" w:hAnsi="Aptos" w:eastAsia="Aptos"/>
        </w:rPr>
        <w:t>Retain the paid receipt package and document whether Sell Your Home accepts it as sufficient gross-receipt support for the tenant-buyer exception.</w:t>
      </w:r>
    </w:p>
    <w:p>
      <w:pPr>
        <w:pStyle w:val="ListBullet"/>
        <w:spacing w:after="40"/>
      </w:pPr>
      <w:r>
        <w:rPr>
          <w:rFonts w:ascii="Aptos" w:hAnsi="Aptos" w:eastAsia="Aptos"/>
        </w:rPr>
        <w:t>Obtain or retain acceptable net-income support if required, such as a profit-and-loss statement, accountant/bookkeeper statement, tax records, owner-draw records, or customer verification.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Ever's ownership, officer role, or compensation relationship with Matthew Flooring LLC.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current debt obligations and whether the auto loans will remain after closing.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funds to close, reserves after closing, and whether notarized reserve proof is required.</w:t>
      </w:r>
    </w:p>
    <w:p>
      <w:pPr>
        <w:pStyle w:val="ListBullet"/>
        <w:spacing w:after="40"/>
      </w:pPr>
      <w:r>
        <w:rPr>
          <w:rFonts w:ascii="Aptos" w:hAnsi="Aptos" w:eastAsia="Aptos"/>
        </w:rPr>
        <w:t>Finalize the proposed payment schedule and escrow breakdown.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Maria's role as co-buyer, co-obligor, spouse, household member, or non-borrowing occupant.</w:t>
      </w:r>
    </w:p>
    <w:p>
      <w:pPr>
        <w:pStyle w:val="ListBullet"/>
        <w:spacing w:after="40"/>
      </w:pPr>
      <w:r>
        <w:rPr>
          <w:rFonts w:ascii="Aptos" w:hAnsi="Aptos" w:eastAsia="Aptos"/>
        </w:rPr>
        <w:t>Complete attorney review of seller-financing compliance and any adverse-action or conditional-approval notice requirements.</w:t>
      </w:r>
    </w:p>
    <w:p>
      <w:r>
        <w:rPr>
          <w:rFonts w:ascii="Aptos" w:hAnsi="Aptos" w:eastAsia="Aptos"/>
          <w:b/>
          <w:sz w:val="24"/>
        </w:rPr>
        <w:t>Compliance And Use Limitations</w:t>
      </w:r>
    </w:p>
    <w:p>
      <w:pPr>
        <w:spacing w:after="100" w:line="252" w:lineRule="auto"/>
      </w:pPr>
      <w:r>
        <w:rPr>
          <w:rFonts w:ascii="Aptos" w:hAnsi="Aptos" w:eastAsia="Aptos"/>
        </w:rPr>
        <w:t>This report is a preliminary business and file-completeness review, not legal advice. Attorney review remains required for seller-financer, Dodd-Frank, Regulation Z, North Carolina law, and adverse-action notice questions. If the buyer is declined or approved only with changed terms, counsel should confirm whether Equal Credit Opportunity Act or Fair Credit Reporting Act notices are required.</w:t>
      </w:r>
    </w:p>
    <w:p>
      <w:r>
        <w:rPr>
          <w:rFonts w:ascii="Aptos" w:hAnsi="Aptos" w:eastAsia="Aptos"/>
          <w:b/>
          <w:sz w:val="24"/>
        </w:rPr>
        <w:t>Prepared By</w:t>
      </w:r>
    </w:p>
    <w:p>
      <w:pPr>
        <w:spacing w:after="100" w:line="252" w:lineRule="auto"/>
      </w:pPr>
      <w:r>
        <w:rPr>
          <w:rFonts w:ascii="Aptos" w:hAnsi="Aptos" w:eastAsia="Aptos"/>
        </w:rPr>
        <w:t>Investment Services, LLC</w:t>
      </w:r>
    </w:p>
    <w:p>
      <w:pPr>
        <w:spacing w:after="100" w:line="252" w:lineRule="auto"/>
      </w:pPr>
      <w:r>
        <w:rPr>
          <w:rFonts w:ascii="Aptos" w:hAnsi="Aptos" w:eastAsia="Aptos"/>
        </w:rPr>
        <w:t>For Sell Your Home review and attorney/compliance follow-up.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A97796-F6F4-448B-89E8-99DEEC093025}"/>
</file>

<file path=customXml/itemProps3.xml><?xml version="1.0" encoding="utf-8"?>
<ds:datastoreItem xmlns:ds="http://schemas.openxmlformats.org/officeDocument/2006/customXml" ds:itemID="{89564E33-C19D-4E8F-9B67-FFD8A0C6D191}"/>
</file>

<file path=customXml/itemProps4.xml><?xml version="1.0" encoding="utf-8"?>
<ds:datastoreItem xmlns:ds="http://schemas.openxmlformats.org/officeDocument/2006/customXml" ds:itemID="{D44EEEC2-459D-4C4D-8389-CA86AC117C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