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r>
        <w:rPr>
          <w:b/>
          <w:color w:val="0000FF"/>
        </w:rPr>
        <w:t>ATTORNEY REVIEW NOTE: Please confirm this Contract for Deed complies with North Carolina Chapter 47H, including required contents, signed-and-acknowledged party requirements, delivery of an exact copy to the purchaser, recordation timing, cancellation rights, default/cure rights, periodic-statement obligations, and any additional statutory notices or disclosures that should be included before the document is sent to the seller or buyer.</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14:paraId="458E6663" w14:textId="77777777" w:rsidR="00EC4D1A" w:rsidRPr="000E041A" w:rsidRDefault="00EC4D1A" w:rsidP="00BC5A07">
      <w:pPr>
        <w:spacing w:before="240"/>
        <w:ind w:firstLine="360"/>
        <w:rPr>
          <w:szCs w:val="28"/>
        </w:rPr>
      </w:pPr>
      <w:r w:rsidRPr="000E041A">
        <w:rPr>
          <w:szCs w:val="28"/>
        </w:rPr>
        <w:t>Property Address:</w:t>
      </w:r>
    </w:p>
    <w:p w14:paraId="02FAAF7F" w14:textId="77777777" w:rsidR="00EC4D1A" w:rsidRPr="000E041A" w:rsidRDefault="00EC4D1A" w:rsidP="00BC5A07">
      <w:pPr>
        <w:ind w:firstLine="720"/>
        <w:rPr>
          <w:szCs w:val="28"/>
        </w:rPr>
      </w:pPr>
      <w:r w:rsidRPr="000E041A">
        <w:rPr>
          <w:noProof/>
          <w:szCs w:val="28"/>
        </w:rPr>
        <w:t>320 Rose Pl</w:t>
      </w:r>
    </w:p>
    <w:p w14:paraId="662B5235" w14:textId="77777777" w:rsidR="00EC4D1A" w:rsidRPr="000E041A" w:rsidRDefault="00EC4D1A" w:rsidP="00BC5A07">
      <w:pPr>
        <w:ind w:firstLine="720"/>
        <w:rPr>
          <w:szCs w:val="28"/>
        </w:rPr>
      </w:pPr>
      <w:r w:rsidRPr="000E041A">
        <w:rPr>
          <w:noProof/>
          <w:szCs w:val="2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r>
        <w:rPr>
          <w:b/>
          <w:color w:val="0000FF"/>
        </w:rPr>
        <w:t>MANAGEMENT REVIEW NOTE: Confirm these business terms match the intended deal before sending to counsel or the parties: purchase price, down payment, loan amount, interest rate, monthly ACH draft/payment amount, first payment date, final payment date, number of payments, escrow amounts, and annual statement process. Do not ask the attorney to compare these values against the spreadsheet because the spreadsheet is not part of the attorney review package.</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r>
        <w:rPr>
          <w:b/>
          <w:color w:val="0000FF"/>
        </w:rPr>
        <w:t>ATTORNEY REVIEW NOTE: Please confirm whether any liens, subject-to debt, title matters, pending orders, adverse conditions, unpaid taxes, insurance obligations, HOA/special-assessment items, or recording/closing instructions should be disclosed or revised before signing. If the property is encumbered by an existing lien or mortgage, please confirm whether the separate 14-point bold capital-letter disclosure required by N.C. Gen. Stat. 47H-6 is needed.</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r>
        <w:rPr>
          <w:b/>
          <w:color w:val="0000FF"/>
        </w:rPr>
        <w:t>ATTORNEY REVIEW NOTE: Please review the default, right-to-cure, forfeiture, eviction, acceleration, and remedy language as a single package across the Contract for Deed and Promissory Note. Confirm whether the cure periods, notice method, and stated remedy are consistent with Chapter 47H and with the intended enforcement process.</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r>
        <w:rPr>
          <w:b/>
          <w:color w:val="0000FF"/>
        </w:rPr>
        <w:t>ATTORNEY REVIEW NOTE: Please review the attorney-change contingency language, including Seller's option to proceed under the previously signed Contract if material attorney-required changes cause Purchaser not to proceed, and confirm whether the due diligence/earnest money return language is clear and enforceable.</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r>
        <w:rPr>
          <w:b/>
          <w:color w:val="0000FF"/>
        </w:rPr>
        <w:t>ATTORNEY REVIEW NOTE: Please confirm the right-to-cancel notice is in the required location and formatting, including whether it must appear immediately above the purchaser signature in not less than 14-point boldface type.</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Wes Browning, Manager</w:t>
      </w:r>
    </w:p>
    <w:p>
      <w:r>
        <w:rPr>
          <w:b/>
          <w:color w:val="0000FF"/>
        </w:rPr>
        <w:t>ATTORNEY REVIEW NOTE: Please review the seller/trust/trustee language and signature block. Confirm the trust is properly identified as seller and that Investment Services LLC, Trustee, through Wes Browning, Manager, has proper authority and wording to sign for the trust.</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Wes Browning,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7B95B5B2-6539-4474-9F92-889DBD29956E}"/>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y fmtid="{D5CDD505-2E9C-101B-9397-08002B2CF9AE}" pid="6" name="ContentTypeId">
    <vt:lpwstr>0x010100DDC7FDB1C8256C4EA4678CC05D188078</vt:lpwstr>
  </property>
</Properties>
</file>