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p>
      <w:r>
        <w:rPr>
          <w:b/>
          <w:color w:val="0000FF"/>
        </w:rPr>
        <w:t>ATTORNEY REVIEW NOTE: Please confirm this Promissory Note is appropriate for the Contract for Deed structure, including whether the note should be separate from or incorporated into the Contract for Deed, and whether it conflicts with the Contract for Deed Agreement or Memorandum.</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r>
        <w:rPr>
          <w:b/>
          <w:color w:val="0000FF"/>
        </w:rPr>
        <w:t>MANAGEMENT REVIEW NOTE: Confirm the principal amount, interest rate, monthly payment, first payment date, final payment date, and maturity/payment count match the intended business terms. Attorney review should focus on legal sufficiency, default remedies, attorney-fee language, and satisfaction language.</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r>
        <w:rPr>
          <w:b/>
          <w:color w:val="0000FF"/>
        </w:rPr>
        <w:t>ATTORNEY REVIEW NOTE: Please confirm the note default, cure period, acceleration, and notice provisions are consistent with the Contract for Deed and North Carolina Chapter 47H, including any longer cure period or notice method required before forfeiture of purchaser rights.</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r>
        <w:rPr>
          <w:b/>
          <w:color w:val="0000FF"/>
        </w:rPr>
        <w:t>ATTORNEY REVIEW NOTE: Please confirm the attorney-fee clause, default remedies, prepayment treatment, late-charge treatment, satisfaction language, and notary/signature requirements are enforceable and appropriate for this Contract for Deed transaction.</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440B3889-2E24-4617-AA63-05115E4F433B}"/>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