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UPDATED CREDITWORTHINESS EVALUATION REPORT</w:t>
      </w:r>
    </w:p>
    <w:p>
      <w:r>
        <w:t>Document-Preparation Readiness Rerun for Ever Amarildo Cardoza Bolanos - 320 Rose Pl / Rose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2026-06-09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Subject buyer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Bolanos; Maria Geraldina Sarmiento listed as Buyer 2 in the live spreadsheet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320 Rose Pl, Wake County, North Carolina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Creditworthiness / ability-to-repay review and CFD handoff support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Overall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preparation; closing execution subject to required affidavits, funds proof, final legal-name spelling confirmation, and attorney/compliance review.</w:t>
            </w:r>
          </w:p>
        </w:tc>
      </w:tr>
    </w:tbl>
    <w:p/>
    <w:p>
      <w:r>
        <w:rPr>
          <w:b/>
        </w:rPr>
        <w:t>Executive Recommendation</w:t>
      </w:r>
    </w:p>
    <w:p>
      <w:r>
        <w:t>Proceed with Contract for Deed document preparation. The current evidence supports a business-judgment path to prepare the closing package, but not final closing execution until the listed closing deliverables are completed. Affidavits expected to be signed/notarized at or before closing should be treated as closing deliverables rather than blockers to CFD document preparation.</w:t>
      </w:r>
    </w:p>
    <w:p>
      <w:pPr>
        <w:pStyle w:val="Heading1"/>
      </w:pPr>
      <w:r>
        <w:t>What Changed In This Rerun</w:t>
      </w:r>
    </w:p>
    <w:p>
      <w:r>
        <w:t>This run was processed from the 12:30 file-based CFD kickoff. The prompt was not used as a source for buyer, seller, payment, affidavit, source-folder, or transaction facts.</w:t>
      </w:r>
    </w:p>
    <w:p>
      <w:r>
        <w:t>The kickoff was treated as a pointer file only. The live spreadsheet Docs worksheet supplied transaction and buyer-role facts, and durable buyer/source files supplied evaluation context.</w:t>
      </w:r>
    </w:p>
    <w:p>
      <w:r>
        <w:t>The current CFD handoff was absent, so this run creates a fresh current handoff for CFD and preserves a new v15 formal DOCX report.</w:t>
      </w:r>
    </w:p>
    <w:p>
      <w:r>
        <w:t>This report uses the readiness status Ready for document preparation and does not treat closing affidavits as blockers to document preparation.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Maria Geraldina Sarmiento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4121 Tensity Dr, Raleigh, NC 27604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Purchase price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$346,500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Earnest money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$6,000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Down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$20,790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amount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$325,710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Monthly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start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2026-07-01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end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2056-06-01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County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Wake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Trustee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Manager 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 Bennett</w:t>
            </w:r>
          </w:p>
        </w:tc>
      </w:tr>
    </w:tbl>
    <w:p/>
    <w:p>
      <w:pPr>
        <w:pStyle w:val="Heading1"/>
      </w:pPr>
      <w:r>
        <w:t>Screening Strengths</w:t>
      </w:r>
    </w:p>
    <w:p>
      <w:r>
        <w:t>Zillow credit report shows a 706 VantageScore 4.0 score.</w:t>
      </w:r>
    </w:p>
    <w:p>
      <w:r>
        <w:t>Credit/background materials show 100% on-time payment history, no collections, no bankruptcies, no reported housing court records, and no reported criminal records.</w:t>
      </w:r>
    </w:p>
    <w:p>
      <w:r>
        <w:t>Buy Your Home, LLC rent verification supports timely rent payments during the tenancy. Because Buy Your Home, LLC is a related company/current landlord, this is related-company verification rather than independent third-party landlord verification.</w:t>
      </w:r>
    </w:p>
    <w:p>
      <w:r>
        <w:t>Secretary of State annual report supports Ever A. Cardoza Bolanos as registered agent and managing member of Matthew Flooring LLC.</w:t>
      </w:r>
    </w:p>
    <w:p>
      <w:r>
        <w:t>Paid receipts support gross customer receipts near the stated income level.</w:t>
      </w:r>
    </w:p>
    <w:p>
      <w:pPr>
        <w:pStyle w:val="Heading1"/>
      </w:pPr>
      <w:r>
        <w:t>Ability-To-Repay Findings</w:t>
      </w:r>
    </w:p>
    <w:p>
      <w:r>
        <w:t>Applicant materials state self-employment income of $9,500/month. The file supports active business activity and substantial gross receipts, but current evidence still does not include tax returns, a CPA letter, profit-and-loss statement, payroll records, or complete owner-draw analysis.</w:t>
      </w:r>
    </w:p>
    <w:p>
      <w:r>
        <w:t>The current spreadsheet payment is $2,504.43, which is $654.43/month above the $1,850 related-company rent history. That increase is material but supportable for document preparation when combined with the verified rent performance, receipts, and business-judgment deliverables.</w:t>
      </w:r>
    </w:p>
    <w:p>
      <w:pPr>
        <w:pStyle w:val="Heading1"/>
      </w:pPr>
      <w:r>
        <w:t>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Evaluation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$9,500/month self-employment income in applicant materials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Useful stated figure but not verified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operation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Matthew Flooring LLC bank statements through May 2026 and Secretary of State filing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active business and Ever role.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Paid receipts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Twelve paid customer receipt PDFs total $112,922.25, averaging $9,410.19/month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gross receipt pattern; not equivalent to verified net personal income.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Missing stronger proof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tax return, CPA letter, P&amp;L, payroll, or full owner-draw analysis in current source set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Remain final-execution/underwriting review items unless accepted by management/counsel.</w:t>
            </w:r>
          </w:p>
        </w:tc>
      </w:tr>
    </w:tbl>
    <w:p/>
    <w:p>
      <w:pPr>
        <w:pStyle w:val="Heading1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Issue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reading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Credit-report debt load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Prior reviews identified high credit-report debt relative to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Requires business-judgment acceptance and attorney/compliance review.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 history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$1,850/month timely rent verified by related company Buy Your Home, LLC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Compensating factor, not independent third-party landlord record.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Proposed housing payment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$2,504.43/month from live spreadsheet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Current contract-payment source for ratio and CFD drafting.</w:t>
            </w:r>
          </w:p>
        </w:tc>
      </w:tr>
    </w:tbl>
    <w:p/>
    <w:p>
      <w:pPr>
        <w:pStyle w:val="Heading1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Housing payment vs. stated $9,500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 / $9,500 = 26.36%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Front-end ratio appears supportable if stated income is accepted.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Back-end ratio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 under prior debt review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cleared by current evidence alone; relies on compensating factors and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Rent-to-payment increase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$654.43/month above $1,850 rent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Increase is meaningful but limited compared with verified rent performance.</w:t>
            </w:r>
          </w:p>
        </w:tc>
      </w:tr>
    </w:tbl>
    <w:p/>
    <w:p>
      <w:pPr>
        <w:pStyle w:val="Heading1"/>
      </w:pPr>
      <w:r>
        <w:t>Cash To Close And Reserves</w:t>
      </w:r>
    </w:p>
    <w:p>
      <w:r>
        <w:t>The spreadsheet shows $6,000 earnest money and $20,790 total down payment. The signed cash-reserves PDF states that $24,000 cash was counted, $14,000 of accounts receivable were seen, and Ever stated he had access to $10,000 in El Salvador.</w:t>
      </w:r>
    </w:p>
    <w:p>
      <w:r>
        <w:t>The $24,000 counted cash, if accepted and properly documented, appears sufficient for the down payment before closing costs. Final funds-to-close handling remains a closing execution item.</w:t>
      </w:r>
    </w:p>
    <w:p>
      <w:pPr>
        <w:pStyle w:val="Heading1"/>
      </w:pPr>
      <w:r>
        <w:t>Decision</w:t>
      </w:r>
    </w:p>
    <w:p>
      <w:r>
        <w:t>Credit/evaluation status: supportable for document preparation under a business-judgment/closing-deliverables approach; not yet final closing-execution approval.</w:t>
      </w:r>
    </w:p>
    <w:p>
      <w:r>
        <w:t>Closing-package readiness status: Ready for document preparation.</w:t>
      </w:r>
    </w:p>
    <w:p>
      <w:r>
        <w:t>Closing execution remains subject to signed/notarized closing deliverables, funds proof, final legal-name spelling confirmation, and attorney/compliance review.</w:t>
      </w:r>
    </w:p>
    <w:p>
      <w:pPr>
        <w:pStyle w:val="Heading1"/>
      </w:pPr>
      <w:r>
        <w:t>Closing Deliverables And Items Required Before Final Execution</w:t>
      </w:r>
    </w:p>
    <w:p>
      <w:r>
        <w:t>Confirm final legal spelling for Maria Geraldina Sarmiento. The project spreadsheet lists this person as Selling-Buyer2, so the signing role is not open.</w:t>
      </w:r>
    </w:p>
    <w:p>
      <w:r>
        <w:t>Include related-company rent-history affidavit as a closing deliverable if relied on; obtain signature/notary at or before closing.</w:t>
      </w:r>
    </w:p>
    <w:p>
      <w:r>
        <w:t>Include cash reserves and receivables observation affidavit as a closing deliverable, or substitute closing-approved funds-to-close proof.</w:t>
      </w:r>
    </w:p>
    <w:p>
      <w:r>
        <w:t>Include receipt package review and acceptance affidavit as a closing deliverable if Sell Your Home relies on paid receipts in place of stronger tax/CPA income documentation.</w:t>
      </w:r>
    </w:p>
    <w:p>
      <w:r>
        <w:t>Include business judgment approval direction affidavit as a closing deliverable if management proceeds despite nonstandard income support and a high back-end ratio.</w:t>
      </w:r>
    </w:p>
    <w:p>
      <w:r>
        <w:t>Confirm funds to close, including earnest money, down payment, closing costs, and post-closing reserves.</w:t>
      </w:r>
    </w:p>
    <w:p>
      <w:r>
        <w:t>Complete attorney review of North Carolina Contract for Deed and seller-financing compliance, including Regulation Z/Dodd-Frank and any adverse-action or conditional-approval notice issues.</w:t>
      </w:r>
    </w:p>
    <w:p>
      <w:pPr>
        <w:pStyle w:val="Heading1"/>
      </w:pPr>
      <w:r>
        <w:t>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Signer /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Closing deliverable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CFD action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Related-Company Rent Payment History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tenant-buyer payment-history exception and explains related-company status.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 Your Home, LLC manager or authorized representative.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Prepare/finalize signature-ready version and retain in closing file.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Cash Reserves and Receivables Observation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funds-to-close and reserve facts.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Observer or entity representative with actual knowledge; current materials identify Buy Your Home, LLC manager for observation facts.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or substitute proof of funds.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Obtain signed/notarized version or closing-approved proof.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Receipt Package Review and Acceptance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seller/business acceptance of paid receipt package as support for non-bank cash receipts.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representative, with authority/signature block reviewed.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receipts are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 authority and include final signed/notarized version if used.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Judgment Approval Direction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decision to proceed despite nonstandard income proof and high debt burden.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representative, with authority/signature block reviewed.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transaction proceeds on this basis.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Include final only after authority and compliance review are satisfied.</w:t>
            </w:r>
          </w:p>
        </w:tc>
      </w:tr>
    </w:tbl>
    <w:p/>
    <w:p>
      <w:pPr>
        <w:pStyle w:val="Heading1"/>
      </w:pPr>
      <w:r>
        <w:t>Legal And Compliance Items</w:t>
      </w:r>
    </w:p>
    <w:p>
      <w:r>
        <w:t>This report is not legal advice and does not resolve North Carolina Contract for Deed compliance requirements.</w:t>
      </w:r>
    </w:p>
    <w:p>
      <w:r>
        <w:t>Counsel should review seller-financing status, trust/seller authority, signature/notary blocks, recording requirements, and any federal or state consumer-credit obligations.</w:t>
      </w:r>
    </w:p>
    <w:p>
      <w:r>
        <w:t>Counsel should decide whether adverse-action or conditional-approval notices are required if terms change or if the file remains subject to outstanding deliverables.</w:t>
      </w:r>
    </w:p>
    <w:p>
      <w:pPr>
        <w:pStyle w:val="Heading1"/>
      </w:pPr>
      <w:r>
        <w:t>Recommended Next Step</w:t>
      </w:r>
    </w:p>
    <w:p>
      <w:r>
        <w:t>Proceed with CFD package preparation. Do not use this report as final closing execution approval until the listed closing deliverables, funds proof, final legal-name spelling, and attorney/compliance review are complete. CFD should treat both spreadsheet buyers as signing buyers.</w:t>
      </w:r>
    </w:p>
    <w:p>
      <w:r>
        <w:rPr>
          <w:b/>
        </w:rP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 type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Credit/evaluation 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Supportable for document preparation; not final execution approval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file can move to package preparation, but closing execution still needs deliverables.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Closing-package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CFD may prepare closing documents and carry listed items into the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yet ready for final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Affidavits, funds proof, legal-name confirmation, and attorney/compliance review remain open.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E594A9-D805-4C36-AA70-BC31AF58C2DA}"/>
</file>

<file path=customXml/itemProps3.xml><?xml version="1.0" encoding="utf-8"?>
<ds:datastoreItem xmlns:ds="http://schemas.openxmlformats.org/officeDocument/2006/customXml" ds:itemID="{9E2FF781-9B36-4CA1-B3E2-77D335F84BEE}"/>
</file>

<file path=customXml/itemProps4.xml><?xml version="1.0" encoding="utf-8"?>
<ds:datastoreItem xmlns:ds="http://schemas.openxmlformats.org/officeDocument/2006/customXml" ds:itemID="{743FB04B-08DF-4800-91CA-26D548FAFB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