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UPDATED CREDITWORTHINESS EVALUATION REPORT</w:t>
      </w:r>
    </w:p>
    <w:p>
      <w:r>
        <w:rPr>
          <w:i/>
        </w:rPr>
        <w:t>Document preparation readiness scenario - Ever Amarildo Cardoza Bolanos and Maria Geraldina Sarmiento - 320 Rose Pl</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Prepared by</w:t>
            </w:r>
          </w:p>
        </w:tc>
        <w:tc>
          <w:tcPr>
            <w:tcW w:type="dxa" w:w="5760"/>
            <w:vAlign w:val="center"/>
          </w:tcPr>
          <w:p>
            <w:r/>
            <w:r>
              <w:rPr>
                <w:b w:val="0"/>
                <w:sz w:val="17"/>
              </w:rPr>
              <w:t>Credit Worthiness Evaluator for Sell Your Home review</w:t>
            </w:r>
          </w:p>
        </w:tc>
      </w:tr>
      <w:tr>
        <w:tc>
          <w:tcPr>
            <w:tcW w:type="dxa" w:w="3168"/>
            <w:vAlign w:val="center"/>
          </w:tcPr>
          <w:p>
            <w:r/>
            <w:r>
              <w:rPr>
                <w:b/>
                <w:sz w:val="17"/>
              </w:rPr>
              <w:t>Report date</w:t>
            </w:r>
          </w:p>
        </w:tc>
        <w:tc>
          <w:tcPr>
            <w:tcW w:type="dxa" w:w="5760"/>
            <w:vAlign w:val="center"/>
          </w:tcPr>
          <w:p>
            <w:r/>
            <w:r>
              <w:rPr>
                <w:b w:val="0"/>
                <w:sz w:val="17"/>
              </w:rPr>
              <w:t>June 9, 2026</w:t>
            </w:r>
          </w:p>
        </w:tc>
      </w:tr>
      <w:tr>
        <w:tc>
          <w:tcPr>
            <w:tcW w:type="dxa" w:w="3168"/>
            <w:vAlign w:val="center"/>
          </w:tcPr>
          <w:p>
            <w:r/>
            <w:r>
              <w:rPr>
                <w:b/>
                <w:sz w:val="17"/>
              </w:rPr>
              <w:t>Subject buyer</w:t>
            </w:r>
          </w:p>
        </w:tc>
        <w:tc>
          <w:tcPr>
            <w:tcW w:type="dxa" w:w="5760"/>
            <w:vAlign w:val="center"/>
          </w:tcPr>
          <w:p>
            <w:r/>
            <w:r>
              <w:rPr>
                <w:b w:val="0"/>
                <w:sz w:val="17"/>
              </w:rPr>
              <w:t>Ever Amarildo Cardoza Bolanos; co-buyer/signing buyer: Maria Geraldina Sarmiento</w:t>
            </w:r>
          </w:p>
        </w:tc>
      </w:tr>
      <w:tr>
        <w:tc>
          <w:tcPr>
            <w:tcW w:type="dxa" w:w="3168"/>
            <w:vAlign w:val="center"/>
          </w:tcPr>
          <w:p>
            <w:r/>
            <w:r>
              <w:rPr>
                <w:b/>
                <w:sz w:val="17"/>
              </w:rPr>
              <w:t>Property</w:t>
            </w:r>
          </w:p>
        </w:tc>
        <w:tc>
          <w:tcPr>
            <w:tcW w:type="dxa" w:w="5760"/>
            <w:vAlign w:val="center"/>
          </w:tcPr>
          <w:p>
            <w:r/>
            <w:r>
              <w:rPr>
                <w:b w:val="0"/>
                <w:sz w:val="17"/>
              </w:rPr>
              <w:t>320 Rose Pl, Wendell, NC 27591</w:t>
            </w:r>
          </w:p>
        </w:tc>
      </w:tr>
      <w:tr>
        <w:tc>
          <w:tcPr>
            <w:tcW w:type="dxa" w:w="3168"/>
            <w:vAlign w:val="center"/>
          </w:tcPr>
          <w:p>
            <w:r/>
            <w:r>
              <w:rPr>
                <w:b/>
                <w:sz w:val="17"/>
              </w:rPr>
              <w:t>Purpose</w:t>
            </w:r>
          </w:p>
        </w:tc>
        <w:tc>
          <w:tcPr>
            <w:tcW w:type="dxa" w:w="5760"/>
            <w:vAlign w:val="center"/>
          </w:tcPr>
          <w:p>
            <w:r/>
            <w:r>
              <w:rPr>
                <w:b w:val="0"/>
                <w:sz w:val="17"/>
              </w:rPr>
              <w:t>Fresh evidence-mode first-pass review for Contract for Deed document preparation.</w:t>
            </w:r>
          </w:p>
        </w:tc>
      </w:tr>
      <w:tr>
        <w:tc>
          <w:tcPr>
            <w:tcW w:type="dxa" w:w="3168"/>
            <w:vAlign w:val="center"/>
          </w:tcPr>
          <w:p>
            <w:r/>
            <w:r>
              <w:rPr>
                <w:b/>
                <w:sz w:val="17"/>
              </w:rPr>
              <w:t>Overall result</w:t>
            </w:r>
          </w:p>
        </w:tc>
        <w:tc>
          <w:tcPr>
            <w:tcW w:type="dxa" w:w="5760"/>
            <w:vAlign w:val="center"/>
          </w:tcPr>
          <w:p>
            <w:r/>
            <w:r>
              <w:rPr>
                <w:b w:val="0"/>
                <w:sz w:val="17"/>
              </w:rPr>
              <w:t>Ready for document preparation; not ready for closing execution until listed deliverables are completed.</w:t>
            </w:r>
          </w:p>
        </w:tc>
      </w:tr>
    </w:tbl>
    <w:p>
      <w:pPr>
        <w:pStyle w:val="Heading1"/>
      </w:pPr>
      <w:r>
        <w:t>Executive Recommendation</w:t>
      </w:r>
    </w:p>
    <w:p>
      <w:r>
        <w:t>The current file supports moving the Contract for Deed package into document preparation. The support is not an unconditional closing clearance. Closing execution should remain subject to signed and notarized support affidavits, funds-to-close verification, buyer name/role confirmation, and attorney/compliance review of the seller-financing structure, disclosures, title issues, and signature authority.</w:t>
      </w:r>
    </w:p>
    <w:p>
      <w:pPr>
        <w:pStyle w:val="Heading1"/>
      </w:pPr>
      <w:r>
        <w:t>What Changed In This Rerun</w:t>
      </w:r>
    </w:p>
    <w:p>
      <w:r>
        <w:t>This is treated as a fresh file-based CFD kickoff evaluation. Prior CWE reports, summaries, and handoffs were not used as source evidence or prior conclusions. They were used only to identify versioning and placement conventions. The source basis is the live project spreadsheet and current durable buyer/project files copied into the buyer-specific project-room source folder.</w:t>
      </w:r>
    </w:p>
    <w:p>
      <w:pPr>
        <w:pStyle w:val="Heading1"/>
      </w:pPr>
      <w:r>
        <w:t>Transaction Snapshot</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Source cutoff</w:t>
            </w:r>
          </w:p>
        </w:tc>
        <w:tc>
          <w:tcPr>
            <w:tcW w:type="dxa" w:w="5760"/>
            <w:vAlign w:val="center"/>
          </w:tcPr>
          <w:p>
            <w:r/>
            <w:r>
              <w:rPr>
                <w:b w:val="0"/>
                <w:sz w:val="17"/>
              </w:rPr>
              <w:t>June 9, 2026 at 12:42 PM Eastern</w:t>
            </w:r>
          </w:p>
        </w:tc>
      </w:tr>
      <w:tr>
        <w:tc>
          <w:tcPr>
            <w:tcW w:type="dxa" w:w="3168"/>
            <w:vAlign w:val="center"/>
          </w:tcPr>
          <w:p>
            <w:r/>
            <w:r>
              <w:rPr>
                <w:b/>
                <w:sz w:val="17"/>
              </w:rPr>
              <w:t>Workbook</w:t>
            </w:r>
          </w:p>
        </w:tc>
        <w:tc>
          <w:tcPr>
            <w:tcW w:type="dxa" w:w="5760"/>
            <w:vAlign w:val="center"/>
          </w:tcPr>
          <w:p>
            <w:r/>
            <w:r>
              <w:rPr>
                <w:b w:val="0"/>
                <w:sz w:val="17"/>
              </w:rPr>
              <w:t>C:\Users\wesbr\Buy Your Home\Buy Your Home - Property\28_Project Management - 320 Rose Pl.xlsm</w:t>
            </w:r>
          </w:p>
        </w:tc>
      </w:tr>
      <w:tr>
        <w:tc>
          <w:tcPr>
            <w:tcW w:type="dxa" w:w="3168"/>
            <w:vAlign w:val="center"/>
          </w:tcPr>
          <w:p>
            <w:r/>
            <w:r>
              <w:rPr>
                <w:b/>
                <w:sz w:val="17"/>
              </w:rPr>
              <w:t>Property</w:t>
            </w:r>
          </w:p>
        </w:tc>
        <w:tc>
          <w:tcPr>
            <w:tcW w:type="dxa" w:w="5760"/>
            <w:vAlign w:val="center"/>
          </w:tcPr>
          <w:p>
            <w:r/>
            <w:r>
              <w:rPr>
                <w:b w:val="0"/>
                <w:sz w:val="17"/>
              </w:rPr>
              <w:t>320 Rose Pl, Wendell, NC 27591</w:t>
            </w:r>
          </w:p>
        </w:tc>
      </w:tr>
      <w:tr>
        <w:tc>
          <w:tcPr>
            <w:tcW w:type="dxa" w:w="3168"/>
            <w:vAlign w:val="center"/>
          </w:tcPr>
          <w:p>
            <w:r/>
            <w:r>
              <w:rPr>
                <w:b/>
                <w:sz w:val="17"/>
              </w:rPr>
              <w:t>Seller field</w:t>
            </w:r>
          </w:p>
        </w:tc>
        <w:tc>
          <w:tcPr>
            <w:tcW w:type="dxa" w:w="5760"/>
            <w:vAlign w:val="center"/>
          </w:tcPr>
          <w:p>
            <w:r/>
            <w:r>
              <w:rPr>
                <w:b w:val="0"/>
                <w:sz w:val="17"/>
              </w:rPr>
              <w:t>Sell Your Home, LLC</w:t>
            </w:r>
          </w:p>
        </w:tc>
      </w:tr>
      <w:tr>
        <w:tc>
          <w:tcPr>
            <w:tcW w:type="dxa" w:w="3168"/>
            <w:vAlign w:val="center"/>
          </w:tcPr>
          <w:p>
            <w:r/>
            <w:r>
              <w:rPr>
                <w:b/>
                <w:sz w:val="17"/>
              </w:rPr>
              <w:t>Trust/trustee fields</w:t>
            </w:r>
          </w:p>
        </w:tc>
        <w:tc>
          <w:tcPr>
            <w:tcW w:type="dxa" w:w="5760"/>
            <w:vAlign w:val="center"/>
          </w:tcPr>
          <w:p>
            <w:r/>
            <w:r>
              <w:rPr>
                <w:b w:val="0"/>
                <w:sz w:val="17"/>
              </w:rPr>
              <w:t>320 Rose Pl Real Estate Trust dated March, 5 2025; Investment Services LLC; manager field: Al Bennett</w:t>
            </w:r>
          </w:p>
        </w:tc>
      </w:tr>
      <w:tr>
        <w:tc>
          <w:tcPr>
            <w:tcW w:type="dxa" w:w="3168"/>
            <w:vAlign w:val="center"/>
          </w:tcPr>
          <w:p>
            <w:r/>
            <w:r>
              <w:rPr>
                <w:b/>
                <w:sz w:val="17"/>
              </w:rPr>
              <w:t>Buyer fields</w:t>
            </w:r>
          </w:p>
        </w:tc>
        <w:tc>
          <w:tcPr>
            <w:tcW w:type="dxa" w:w="5760"/>
            <w:vAlign w:val="center"/>
          </w:tcPr>
          <w:p>
            <w:r/>
            <w:r>
              <w:rPr>
                <w:b w:val="0"/>
                <w:sz w:val="17"/>
              </w:rPr>
              <w:t>Ever Amarildo Cardoza Bolanos; Maria Geraldina Sarmiento</w:t>
            </w:r>
          </w:p>
        </w:tc>
      </w:tr>
      <w:tr>
        <w:tc>
          <w:tcPr>
            <w:tcW w:type="dxa" w:w="3168"/>
            <w:vAlign w:val="center"/>
          </w:tcPr>
          <w:p>
            <w:r/>
            <w:r>
              <w:rPr>
                <w:b/>
                <w:sz w:val="17"/>
              </w:rPr>
              <w:t>Purchase price</w:t>
            </w:r>
          </w:p>
        </w:tc>
        <w:tc>
          <w:tcPr>
            <w:tcW w:type="dxa" w:w="5760"/>
            <w:vAlign w:val="center"/>
          </w:tcPr>
          <w:p>
            <w:r/>
            <w:r>
              <w:rPr>
                <w:b w:val="0"/>
                <w:sz w:val="17"/>
              </w:rPr>
              <w:t>$346,500.00</w:t>
            </w:r>
          </w:p>
        </w:tc>
      </w:tr>
      <w:tr>
        <w:tc>
          <w:tcPr>
            <w:tcW w:type="dxa" w:w="3168"/>
            <w:vAlign w:val="center"/>
          </w:tcPr>
          <w:p>
            <w:r/>
            <w:r>
              <w:rPr>
                <w:b/>
                <w:sz w:val="17"/>
              </w:rPr>
              <w:t>Down payment</w:t>
            </w:r>
          </w:p>
        </w:tc>
        <w:tc>
          <w:tcPr>
            <w:tcW w:type="dxa" w:w="5760"/>
            <w:vAlign w:val="center"/>
          </w:tcPr>
          <w:p>
            <w:r/>
            <w:r>
              <w:rPr>
                <w:b w:val="0"/>
                <w:sz w:val="17"/>
              </w:rPr>
              <w:t>$20,790.00 total; $6,000.00 earnest; $14,790.00 remaining due at closing</w:t>
            </w:r>
          </w:p>
        </w:tc>
      </w:tr>
      <w:tr>
        <w:tc>
          <w:tcPr>
            <w:tcW w:type="dxa" w:w="3168"/>
            <w:vAlign w:val="center"/>
          </w:tcPr>
          <w:p>
            <w:r/>
            <w:r>
              <w:rPr>
                <w:b/>
                <w:sz w:val="17"/>
              </w:rPr>
              <w:t>Loan amount</w:t>
            </w:r>
          </w:p>
        </w:tc>
        <w:tc>
          <w:tcPr>
            <w:tcW w:type="dxa" w:w="5760"/>
            <w:vAlign w:val="center"/>
          </w:tcPr>
          <w:p>
            <w:r/>
            <w:r>
              <w:rPr>
                <w:b w:val="0"/>
                <w:sz w:val="17"/>
              </w:rPr>
              <w:t>$325,710.00</w:t>
            </w:r>
          </w:p>
        </w:tc>
      </w:tr>
      <w:tr>
        <w:tc>
          <w:tcPr>
            <w:tcW w:type="dxa" w:w="3168"/>
            <w:vAlign w:val="center"/>
          </w:tcPr>
          <w:p>
            <w:r/>
            <w:r>
              <w:rPr>
                <w:b/>
                <w:sz w:val="17"/>
              </w:rPr>
              <w:t>Payment</w:t>
            </w:r>
          </w:p>
        </w:tc>
        <w:tc>
          <w:tcPr>
            <w:tcW w:type="dxa" w:w="5760"/>
            <w:vAlign w:val="center"/>
          </w:tcPr>
          <w:p>
            <w:r/>
            <w:r>
              <w:rPr>
                <w:b w:val="0"/>
                <w:sz w:val="17"/>
              </w:rPr>
              <w:t>$2,504.43 principal/interest plus $145.10 tax escrow and $51.50 insurance = $2,701.03</w:t>
            </w:r>
          </w:p>
        </w:tc>
      </w:tr>
      <w:tr>
        <w:tc>
          <w:tcPr>
            <w:tcW w:type="dxa" w:w="3168"/>
            <w:vAlign w:val="center"/>
          </w:tcPr>
          <w:p>
            <w:r/>
            <w:r>
              <w:rPr>
                <w:b/>
                <w:sz w:val="17"/>
              </w:rPr>
              <w:t>Term</w:t>
            </w:r>
          </w:p>
        </w:tc>
        <w:tc>
          <w:tcPr>
            <w:tcW w:type="dxa" w:w="5760"/>
            <w:vAlign w:val="center"/>
          </w:tcPr>
          <w:p>
            <w:r/>
            <w:r>
              <w:rPr>
                <w:b w:val="0"/>
                <w:sz w:val="17"/>
              </w:rPr>
              <w:t>July 1, 2026 through June 1, 2056</w:t>
            </w:r>
          </w:p>
        </w:tc>
      </w:tr>
      <w:tr>
        <w:tc>
          <w:tcPr>
            <w:tcW w:type="dxa" w:w="3168"/>
            <w:vAlign w:val="center"/>
          </w:tcPr>
          <w:p>
            <w:r/>
            <w:r>
              <w:rPr>
                <w:b/>
                <w:sz w:val="17"/>
              </w:rPr>
              <w:t>Adverse conditions</w:t>
            </w:r>
          </w:p>
        </w:tc>
        <w:tc>
          <w:tcPr>
            <w:tcW w:type="dxa" w:w="5760"/>
            <w:vAlign w:val="center"/>
          </w:tcPr>
          <w:p>
            <w:r/>
            <w:r>
              <w:rPr>
                <w:b w:val="0"/>
                <w:sz w:val="17"/>
              </w:rPr>
              <w:t>Shellpoint mortgage, deferred balance, and lien entries appear on the Docs worksheet and require closing/title review.</w:t>
            </w:r>
          </w:p>
        </w:tc>
      </w:tr>
    </w:tbl>
    <w:p>
      <w:pPr>
        <w:pStyle w:val="Heading1"/>
      </w:pPr>
      <w:r>
        <w:t>Screening Strengths</w:t>
      </w:r>
    </w:p>
    <w:p>
      <w:pPr>
        <w:pStyle w:val="ListBullet"/>
      </w:pPr>
      <w:r>
        <w:t>Credit screening shows a VantageScore 4.0 of 706, 100% on-time payment history, no reported collections, and no reported bankruptcies.</w:t>
      </w:r>
    </w:p>
    <w:p>
      <w:pPr>
        <w:pStyle w:val="ListBullet"/>
      </w:pPr>
      <w:r>
        <w:t>Background screening shows no housing court records and no criminal records in the reviewed screening report.</w:t>
      </w:r>
    </w:p>
    <w:p>
      <w:pPr>
        <w:pStyle w:val="ListBullet"/>
      </w:pPr>
      <w:r>
        <w:t>Zillow applicant material identifies Ever as self-employed and states income of $9,500 per month; this is applicant-stated income and is not treated as verified net income.</w:t>
      </w:r>
    </w:p>
    <w:p>
      <w:pPr>
        <w:pStyle w:val="ListBullet"/>
      </w:pPr>
      <w:r>
        <w:t>Related-company rent verification from Buy Your Home, LLC reports timely rent history from July 2025 through June 2026 at $1,850.00 per month. This is useful direct knowledge, but not unrelated third-party landlord verification.</w:t>
      </w:r>
    </w:p>
    <w:p>
      <w:pPr>
        <w:pStyle w:val="Heading1"/>
      </w:pPr>
      <w:r>
        <w:t>Ability-To-Repay Findings</w:t>
      </w:r>
    </w:p>
    <w:p>
      <w:r>
        <w:t>The file is supportable for document preparation because the proposed housing payment is close to the buyer's existing verified rent obligation, credit history is clean, business activity is substantial, and reserve documentation appears sufficient to cover the remaining cash-to-close requirement. The limiting factor is that self-employment net income is not verified by tax returns, profit-and-loss statements, payroll records, or owner-draw analysis. The report therefore relies on a conservative tenant-buyer/payment-history and reserve-supported business judgment path rather than a traditional fully verified income approval.</w:t>
      </w:r>
    </w:p>
    <w:p>
      <w:pPr>
        <w:pStyle w:val="Heading1"/>
      </w:pPr>
      <w:r>
        <w:t>Income And Business Cash Flow</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Applicant-stated income</w:t>
            </w:r>
          </w:p>
        </w:tc>
        <w:tc>
          <w:tcPr>
            <w:tcW w:type="dxa" w:w="5760"/>
            <w:vAlign w:val="center"/>
          </w:tcPr>
          <w:p>
            <w:r/>
            <w:r>
              <w:rPr>
                <w:b w:val="0"/>
                <w:sz w:val="17"/>
              </w:rPr>
              <w:t>$9,500.00 per month from Zillow applicant details; unverified self-employment income.</w:t>
            </w:r>
          </w:p>
        </w:tc>
      </w:tr>
      <w:tr>
        <w:tc>
          <w:tcPr>
            <w:tcW w:type="dxa" w:w="3168"/>
            <w:vAlign w:val="center"/>
          </w:tcPr>
          <w:p>
            <w:r/>
            <w:r>
              <w:rPr>
                <w:b/>
                <w:sz w:val="17"/>
              </w:rPr>
              <w:t>Receipt package</w:t>
            </w:r>
          </w:p>
        </w:tc>
        <w:tc>
          <w:tcPr>
            <w:tcW w:type="dxa" w:w="5760"/>
            <w:vAlign w:val="center"/>
          </w:tcPr>
          <w:p>
            <w:r/>
            <w:r>
              <w:rPr>
                <w:b w:val="0"/>
                <w:sz w:val="17"/>
              </w:rPr>
              <w:t>$112,922.25 over twelve paid receipts; $9,410.19 average monthly gross receipts.</w:t>
            </w:r>
          </w:p>
        </w:tc>
      </w:tr>
      <w:tr>
        <w:tc>
          <w:tcPr>
            <w:tcW w:type="dxa" w:w="3168"/>
            <w:vAlign w:val="center"/>
          </w:tcPr>
          <w:p>
            <w:r/>
            <w:r>
              <w:rPr>
                <w:b/>
                <w:sz w:val="17"/>
              </w:rPr>
              <w:t>Business bank statements</w:t>
            </w:r>
          </w:p>
        </w:tc>
        <w:tc>
          <w:tcPr>
            <w:tcW w:type="dxa" w:w="5760"/>
            <w:vAlign w:val="center"/>
          </w:tcPr>
          <w:p>
            <w:r/>
            <w:r>
              <w:rPr>
                <w:b w:val="0"/>
                <w:sz w:val="17"/>
              </w:rPr>
              <w:t>Average monthly deposits/credits of about $27,773.92 over the readable business-statement set; withdrawals/debits average about $27,622.03.</w:t>
            </w:r>
          </w:p>
        </w:tc>
      </w:tr>
      <w:tr>
        <w:tc>
          <w:tcPr>
            <w:tcW w:type="dxa" w:w="3168"/>
            <w:vAlign w:val="center"/>
          </w:tcPr>
          <w:p>
            <w:r/>
            <w:r>
              <w:rPr>
                <w:b/>
                <w:sz w:val="17"/>
              </w:rPr>
              <w:t>Latest business ending balance</w:t>
            </w:r>
          </w:p>
        </w:tc>
        <w:tc>
          <w:tcPr>
            <w:tcW w:type="dxa" w:w="5760"/>
            <w:vAlign w:val="center"/>
          </w:tcPr>
          <w:p>
            <w:r/>
            <w:r>
              <w:rPr>
                <w:b w:val="0"/>
                <w:sz w:val="17"/>
              </w:rPr>
              <w:t>$5,058.11</w:t>
            </w:r>
          </w:p>
        </w:tc>
      </w:tr>
      <w:tr>
        <w:tc>
          <w:tcPr>
            <w:tcW w:type="dxa" w:w="3168"/>
            <w:vAlign w:val="center"/>
          </w:tcPr>
          <w:p>
            <w:r/>
            <w:r>
              <w:rPr>
                <w:b/>
                <w:sz w:val="17"/>
              </w:rPr>
              <w:t>Income conclusion</w:t>
            </w:r>
          </w:p>
        </w:tc>
        <w:tc>
          <w:tcPr>
            <w:tcW w:type="dxa" w:w="5760"/>
            <w:vAlign w:val="center"/>
          </w:tcPr>
          <w:p>
            <w:r/>
            <w:r>
              <w:rPr>
                <w:b w:val="0"/>
                <w:sz w:val="17"/>
              </w:rPr>
              <w:t>Gross business activity is strong, but borrower-level net income remains unverified. Do not treat gross deposits or gross receipts as personal net income.</w:t>
            </w:r>
          </w:p>
        </w:tc>
      </w:tr>
    </w:tbl>
    <w:p>
      <w:pPr>
        <w:pStyle w:val="Heading1"/>
      </w:pPr>
      <w:r>
        <w:t>Debt Burden</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Credit-report debt</w:t>
            </w:r>
          </w:p>
        </w:tc>
        <w:tc>
          <w:tcPr>
            <w:tcW w:type="dxa" w:w="5760"/>
            <w:vAlign w:val="center"/>
          </w:tcPr>
          <w:p>
            <w:r/>
            <w:r>
              <w:rPr>
                <w:b w:val="0"/>
                <w:sz w:val="17"/>
              </w:rPr>
              <w:t>$86,790.00 total debt; estimated monthly payments of $2,162.00.</w:t>
            </w:r>
          </w:p>
        </w:tc>
      </w:tr>
      <w:tr>
        <w:tc>
          <w:tcPr>
            <w:tcW w:type="dxa" w:w="3168"/>
            <w:vAlign w:val="center"/>
          </w:tcPr>
          <w:p>
            <w:r/>
            <w:r>
              <w:rPr>
                <w:b/>
                <w:sz w:val="17"/>
              </w:rPr>
              <w:t>Credit mix</w:t>
            </w:r>
          </w:p>
        </w:tc>
        <w:tc>
          <w:tcPr>
            <w:tcW w:type="dxa" w:w="5760"/>
            <w:vAlign w:val="center"/>
          </w:tcPr>
          <w:p>
            <w:r/>
            <w:r>
              <w:rPr>
                <w:b w:val="0"/>
                <w:sz w:val="17"/>
              </w:rPr>
              <w:t>Four open auto loans and one open credit card with a reported zero card balance.</w:t>
            </w:r>
          </w:p>
        </w:tc>
      </w:tr>
      <w:tr>
        <w:tc>
          <w:tcPr>
            <w:tcW w:type="dxa" w:w="3168"/>
            <w:vAlign w:val="center"/>
          </w:tcPr>
          <w:p>
            <w:r/>
            <w:r>
              <w:rPr>
                <w:b/>
                <w:sz w:val="17"/>
              </w:rPr>
              <w:t>Payment history</w:t>
            </w:r>
          </w:p>
        </w:tc>
        <w:tc>
          <w:tcPr>
            <w:tcW w:type="dxa" w:w="5760"/>
            <w:vAlign w:val="center"/>
          </w:tcPr>
          <w:p>
            <w:r/>
            <w:r>
              <w:rPr>
                <w:b w:val="0"/>
                <w:sz w:val="17"/>
              </w:rPr>
              <w:t>Credit report reflects 100% on-time payments and no delinquencies in the displayed account histories.</w:t>
            </w:r>
          </w:p>
        </w:tc>
      </w:tr>
      <w:tr>
        <w:tc>
          <w:tcPr>
            <w:tcW w:type="dxa" w:w="3168"/>
            <w:vAlign w:val="center"/>
          </w:tcPr>
          <w:p>
            <w:r/>
            <w:r>
              <w:rPr>
                <w:b/>
                <w:sz w:val="17"/>
              </w:rPr>
              <w:t>Debt concern</w:t>
            </w:r>
          </w:p>
        </w:tc>
        <w:tc>
          <w:tcPr>
            <w:tcW w:type="dxa" w:w="5760"/>
            <w:vAlign w:val="center"/>
          </w:tcPr>
          <w:p>
            <w:r/>
            <w:r>
              <w:rPr>
                <w:b w:val="0"/>
                <w:sz w:val="17"/>
              </w:rPr>
              <w:t>Auto-loan burden is meaningful and should remain in the payment-ratio review.</w:t>
            </w:r>
          </w:p>
        </w:tc>
      </w:tr>
    </w:tbl>
    <w:p>
      <w:pPr>
        <w:pStyle w:val="Heading1"/>
      </w:pPr>
      <w:r>
        <w:t>Payment Ratios</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Current rent plus reported debt</w:t>
            </w:r>
          </w:p>
        </w:tc>
        <w:tc>
          <w:tcPr>
            <w:tcW w:type="dxa" w:w="5760"/>
            <w:vAlign w:val="center"/>
          </w:tcPr>
          <w:p>
            <w:r/>
            <w:r>
              <w:rPr>
                <w:b w:val="0"/>
                <w:sz w:val="17"/>
              </w:rPr>
              <w:t>$1,850.00 + $2,162.00 = $4,012.00</w:t>
            </w:r>
          </w:p>
        </w:tc>
      </w:tr>
      <w:tr>
        <w:tc>
          <w:tcPr>
            <w:tcW w:type="dxa" w:w="3168"/>
            <w:vAlign w:val="center"/>
          </w:tcPr>
          <w:p>
            <w:r/>
            <w:r>
              <w:rPr>
                <w:b/>
                <w:sz w:val="17"/>
              </w:rPr>
              <w:t>Proposed housing plus reported debt</w:t>
            </w:r>
          </w:p>
        </w:tc>
        <w:tc>
          <w:tcPr>
            <w:tcW w:type="dxa" w:w="5760"/>
            <w:vAlign w:val="center"/>
          </w:tcPr>
          <w:p>
            <w:r/>
            <w:r>
              <w:rPr>
                <w:b w:val="0"/>
                <w:sz w:val="17"/>
              </w:rPr>
              <w:t>$2,701.03 + $2,162.00 = $4,863.03</w:t>
            </w:r>
          </w:p>
        </w:tc>
      </w:tr>
      <w:tr>
        <w:tc>
          <w:tcPr>
            <w:tcW w:type="dxa" w:w="3168"/>
            <w:vAlign w:val="center"/>
          </w:tcPr>
          <w:p>
            <w:r/>
            <w:r>
              <w:rPr>
                <w:b/>
                <w:sz w:val="17"/>
              </w:rPr>
              <w:t>Payment increase</w:t>
            </w:r>
          </w:p>
        </w:tc>
        <w:tc>
          <w:tcPr>
            <w:tcW w:type="dxa" w:w="5760"/>
            <w:vAlign w:val="center"/>
          </w:tcPr>
          <w:p>
            <w:r/>
            <w:r>
              <w:rPr>
                <w:b w:val="0"/>
                <w:sz w:val="17"/>
              </w:rPr>
              <w:t>$851.03 per month over verified related-company rent.</w:t>
            </w:r>
          </w:p>
        </w:tc>
      </w:tr>
      <w:tr>
        <w:tc>
          <w:tcPr>
            <w:tcW w:type="dxa" w:w="3168"/>
            <w:vAlign w:val="center"/>
          </w:tcPr>
          <w:p>
            <w:r/>
            <w:r>
              <w:rPr>
                <w:b/>
                <w:sz w:val="17"/>
              </w:rPr>
              <w:t>Housing ratio to stated income</w:t>
            </w:r>
          </w:p>
        </w:tc>
        <w:tc>
          <w:tcPr>
            <w:tcW w:type="dxa" w:w="5760"/>
            <w:vAlign w:val="center"/>
          </w:tcPr>
          <w:p>
            <w:r/>
            <w:r>
              <w:rPr>
                <w:b w:val="0"/>
                <w:sz w:val="17"/>
              </w:rPr>
              <w:t>28.4% using applicant-stated income.</w:t>
            </w:r>
          </w:p>
        </w:tc>
      </w:tr>
      <w:tr>
        <w:tc>
          <w:tcPr>
            <w:tcW w:type="dxa" w:w="3168"/>
            <w:vAlign w:val="center"/>
          </w:tcPr>
          <w:p>
            <w:r/>
            <w:r>
              <w:rPr>
                <w:b/>
                <w:sz w:val="17"/>
              </w:rPr>
              <w:t>Debt plus housing to stated income</w:t>
            </w:r>
          </w:p>
        </w:tc>
        <w:tc>
          <w:tcPr>
            <w:tcW w:type="dxa" w:w="5760"/>
            <w:vAlign w:val="center"/>
          </w:tcPr>
          <w:p>
            <w:r/>
            <w:r>
              <w:rPr>
                <w:b w:val="0"/>
                <w:sz w:val="17"/>
              </w:rPr>
              <w:t>51.2% using applicant-stated income.</w:t>
            </w:r>
          </w:p>
        </w:tc>
      </w:tr>
      <w:tr>
        <w:tc>
          <w:tcPr>
            <w:tcW w:type="dxa" w:w="3168"/>
            <w:vAlign w:val="center"/>
          </w:tcPr>
          <w:p>
            <w:r/>
            <w:r>
              <w:rPr>
                <w:b/>
                <w:sz w:val="17"/>
              </w:rPr>
              <w:t>Debt plus housing to receipt average</w:t>
            </w:r>
          </w:p>
        </w:tc>
        <w:tc>
          <w:tcPr>
            <w:tcW w:type="dxa" w:w="5760"/>
            <w:vAlign w:val="center"/>
          </w:tcPr>
          <w:p>
            <w:r/>
            <w:r>
              <w:rPr>
                <w:b w:val="0"/>
                <w:sz w:val="17"/>
              </w:rPr>
              <w:t>51.7% using gross receipt average, not net income.</w:t>
            </w:r>
          </w:p>
        </w:tc>
      </w:tr>
    </w:tbl>
    <w:p>
      <w:pPr>
        <w:pStyle w:val="Heading1"/>
      </w:pPr>
      <w:r>
        <w:t>Cash To Close And Reserves</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Cash due at closing</w:t>
            </w:r>
          </w:p>
        </w:tc>
        <w:tc>
          <w:tcPr>
            <w:tcW w:type="dxa" w:w="5760"/>
            <w:vAlign w:val="center"/>
          </w:tcPr>
          <w:p>
            <w:r/>
            <w:r>
              <w:rPr>
                <w:b w:val="0"/>
                <w:sz w:val="17"/>
              </w:rPr>
              <w:t>$14,790.00 after $6,000.00 earnest money.</w:t>
            </w:r>
          </w:p>
        </w:tc>
      </w:tr>
      <w:tr>
        <w:tc>
          <w:tcPr>
            <w:tcW w:type="dxa" w:w="3168"/>
            <w:vAlign w:val="center"/>
          </w:tcPr>
          <w:p>
            <w:r/>
            <w:r>
              <w:rPr>
                <w:b/>
                <w:sz w:val="17"/>
              </w:rPr>
              <w:t>Observed cash</w:t>
            </w:r>
          </w:p>
        </w:tc>
        <w:tc>
          <w:tcPr>
            <w:tcW w:type="dxa" w:w="5760"/>
            <w:vAlign w:val="center"/>
          </w:tcPr>
          <w:p>
            <w:r/>
            <w:r>
              <w:rPr>
                <w:b w:val="0"/>
                <w:sz w:val="17"/>
              </w:rPr>
              <w:t>$24,000.00 personally counted in the current reserve-observation support document.</w:t>
            </w:r>
          </w:p>
        </w:tc>
      </w:tr>
      <w:tr>
        <w:tc>
          <w:tcPr>
            <w:tcW w:type="dxa" w:w="3168"/>
            <w:vAlign w:val="center"/>
          </w:tcPr>
          <w:p>
            <w:r/>
            <w:r>
              <w:rPr>
                <w:b/>
                <w:sz w:val="17"/>
              </w:rPr>
              <w:t>Other stated reserves</w:t>
            </w:r>
          </w:p>
        </w:tc>
        <w:tc>
          <w:tcPr>
            <w:tcW w:type="dxa" w:w="5760"/>
            <w:vAlign w:val="center"/>
          </w:tcPr>
          <w:p>
            <w:r/>
            <w:r>
              <w:rPr>
                <w:b w:val="0"/>
                <w:sz w:val="17"/>
              </w:rPr>
              <w:t>$14,000.00 receivables and $10,000.00 stated access to El Salvador funds.</w:t>
            </w:r>
          </w:p>
        </w:tc>
      </w:tr>
      <w:tr>
        <w:tc>
          <w:tcPr>
            <w:tcW w:type="dxa" w:w="3168"/>
            <w:vAlign w:val="center"/>
          </w:tcPr>
          <w:p>
            <w:r/>
            <w:r>
              <w:rPr>
                <w:b/>
                <w:sz w:val="17"/>
              </w:rPr>
              <w:t>Stated reserve total</w:t>
            </w:r>
          </w:p>
        </w:tc>
        <w:tc>
          <w:tcPr>
            <w:tcW w:type="dxa" w:w="5760"/>
            <w:vAlign w:val="center"/>
          </w:tcPr>
          <w:p>
            <w:r/>
            <w:r>
              <w:rPr>
                <w:b w:val="0"/>
                <w:sz w:val="17"/>
              </w:rPr>
              <w:t>$48,000.00</w:t>
            </w:r>
          </w:p>
        </w:tc>
      </w:tr>
      <w:tr>
        <w:tc>
          <w:tcPr>
            <w:tcW w:type="dxa" w:w="3168"/>
            <w:vAlign w:val="center"/>
          </w:tcPr>
          <w:p>
            <w:r/>
            <w:r>
              <w:rPr>
                <w:b/>
                <w:sz w:val="17"/>
              </w:rPr>
              <w:t>Reserve conclusion</w:t>
            </w:r>
          </w:p>
        </w:tc>
        <w:tc>
          <w:tcPr>
            <w:tcW w:type="dxa" w:w="5760"/>
            <w:vAlign w:val="center"/>
          </w:tcPr>
          <w:p>
            <w:r/>
            <w:r>
              <w:rPr>
                <w:b w:val="0"/>
                <w:sz w:val="17"/>
              </w:rPr>
              <w:t>The observed cash alone appears sufficient to cover the remaining down payment, but final funds proof and closing-funds handling are still required before closing execution.</w:t>
            </w:r>
          </w:p>
        </w:tc>
      </w:tr>
    </w:tbl>
    <w:p>
      <w:pPr>
        <w:pStyle w:val="Heading1"/>
      </w:pPr>
      <w:r>
        <w:t>Decision</w:t>
      </w:r>
    </w:p>
    <w:p>
      <w:r>
        <w:t>Credit/evaluation status: supportable for Contract for Deed document preparation in evidence mode. Closing-package readiness status: Ready for document preparation. Closing execution status: not ready until final deliverables are completed. No issue in the current file is serious enough, by itself, to stop CFD from preparing documents, provided the closing checklist carries the unresolved execution, authority, title, funds, and compliance items.</w:t>
      </w:r>
    </w:p>
    <w:p>
      <w:pPr>
        <w:pStyle w:val="Heading1"/>
      </w:pPr>
      <w:r>
        <w:t>Conditions Or Documents Required Before Approval/Closing</w:t>
      </w:r>
    </w:p>
    <w:p>
      <w:pPr>
        <w:pStyle w:val="ListBullet"/>
      </w:pPr>
      <w:r>
        <w:t>Signed and notarized support affidavits for related-company rent history, cash reserves/receivables observation, receipt-package review, and business-judgment approval direction.</w:t>
      </w:r>
    </w:p>
    <w:p>
      <w:pPr>
        <w:pStyle w:val="ListBullet"/>
      </w:pPr>
      <w:r>
        <w:t>Final funds-to-close proof, including handling of the $6,000 earnest payment and $14,790 remaining down payment due at attorney closing.</w:t>
      </w:r>
    </w:p>
    <w:p>
      <w:pPr>
        <w:pStyle w:val="ListBullet"/>
      </w:pPr>
      <w:r>
        <w:t>Confirmation that buyer legal names in closing documents match the passports and live project spreadsheet, especially Ever Amarildo Cardoza Bolanos and Maria Geraldina Sarmiento.</w:t>
      </w:r>
    </w:p>
    <w:p>
      <w:pPr>
        <w:pStyle w:val="ListBullet"/>
      </w:pPr>
      <w:r>
        <w:t>Seller, trust, trustee, manager, and signer-capacity confirmation. Current project files contain Sell Your Home, LLC, Investment Services LLC, Al Bennett, and prior CFD signer guidance that should be reconciled before execution.</w:t>
      </w:r>
    </w:p>
    <w:p>
      <w:pPr>
        <w:pStyle w:val="ListBullet"/>
      </w:pPr>
      <w:r>
        <w:t>Attorney/compliance review of Regulation Z/TILA, seller-financer status, state-law contract-for-deed requirements, disclosures, title/lien/adverse-condition handling, recording/notice requirements, and any adverse-action notice question if the file later changes to denial or material counteroffer.</w:t>
      </w:r>
    </w:p>
    <w:p>
      <w:pPr>
        <w:pStyle w:val="Heading1"/>
      </w:pPr>
      <w:r>
        <w:t>CFD Closing-Package Document Requests</w:t>
      </w:r>
    </w:p>
    <w:tbl>
      <w:tblPr>
        <w:tblStyle w:val="TableGrid"/>
        <w:tblW w:type="auto" w:w="0"/>
        <w:tblLook w:firstColumn="1" w:firstRow="1" w:lastColumn="0" w:lastRow="0" w:noHBand="0" w:noVBand="1" w:val="04A0"/>
      </w:tblPr>
      <w:tblGrid>
        <w:gridCol w:w="2541"/>
        <w:gridCol w:w="2541"/>
        <w:gridCol w:w="2541"/>
        <w:gridCol w:w="2541"/>
      </w:tblGrid>
      <w:tr>
        <w:tc>
          <w:tcPr>
            <w:tcW w:type="dxa" w:w="2541"/>
            <w:vAlign w:val="center"/>
          </w:tcPr>
          <w:p>
            <w:r/>
            <w:r>
              <w:rPr>
                <w:b/>
                <w:sz w:val="17"/>
              </w:rPr>
              <w:t>Document</w:t>
            </w:r>
          </w:p>
        </w:tc>
        <w:tc>
          <w:tcPr>
            <w:tcW w:type="dxa" w:w="2541"/>
            <w:vAlign w:val="center"/>
          </w:tcPr>
          <w:p>
            <w:r/>
            <w:r>
              <w:rPr>
                <w:b/>
                <w:sz w:val="17"/>
              </w:rPr>
              <w:t>Status</w:t>
            </w:r>
          </w:p>
        </w:tc>
        <w:tc>
          <w:tcPr>
            <w:tcW w:type="dxa" w:w="2541"/>
            <w:vAlign w:val="center"/>
          </w:tcPr>
          <w:p>
            <w:r/>
            <w:r>
              <w:rPr>
                <w:b/>
                <w:sz w:val="17"/>
              </w:rPr>
              <w:t>Signer</w:t>
            </w:r>
          </w:p>
        </w:tc>
        <w:tc>
          <w:tcPr>
            <w:tcW w:type="dxa" w:w="2541"/>
            <w:vAlign w:val="center"/>
          </w:tcPr>
          <w:p>
            <w:r/>
            <w:r>
              <w:rPr>
                <w:b/>
                <w:sz w:val="17"/>
              </w:rPr>
              <w:t>CFD action</w:t>
            </w:r>
          </w:p>
        </w:tc>
      </w:tr>
      <w:tr>
        <w:tc>
          <w:tcPr>
            <w:tcW w:type="dxa" w:w="2541"/>
            <w:vAlign w:val="center"/>
          </w:tcPr>
          <w:p>
            <w:r/>
            <w:r>
              <w:rPr>
                <w:b w:val="0"/>
                <w:sz w:val="17"/>
              </w:rPr>
              <w:t>Affidavit of Related-Company Rent Payment History</w:t>
            </w:r>
          </w:p>
        </w:tc>
        <w:tc>
          <w:tcPr>
            <w:tcW w:type="dxa" w:w="2541"/>
            <w:vAlign w:val="center"/>
          </w:tcPr>
          <w:p>
            <w:r/>
            <w:r>
              <w:rPr>
                <w:b w:val="0"/>
                <w:sz w:val="17"/>
              </w:rPr>
              <w:t>Required</w:t>
            </w:r>
          </w:p>
        </w:tc>
        <w:tc>
          <w:tcPr>
            <w:tcW w:type="dxa" w:w="2541"/>
            <w:vAlign w:val="center"/>
          </w:tcPr>
          <w:p>
            <w:r/>
            <w:r>
              <w:rPr>
                <w:b w:val="0"/>
                <w:sz w:val="17"/>
              </w:rPr>
              <w:t>Wes Browning, Manager of Buy Your Home, LLC</w:t>
            </w:r>
          </w:p>
        </w:tc>
        <w:tc>
          <w:tcPr>
            <w:tcW w:type="dxa" w:w="2541"/>
            <w:vAlign w:val="center"/>
          </w:tcPr>
          <w:p>
            <w:r/>
            <w:r>
              <w:rPr>
                <w:b w:val="0"/>
                <w:sz w:val="17"/>
              </w:rPr>
              <w:t>Document timely related-company rent history; notarized closing deliverable.</w:t>
            </w:r>
          </w:p>
        </w:tc>
      </w:tr>
      <w:tr>
        <w:tc>
          <w:tcPr>
            <w:tcW w:type="dxa" w:w="2541"/>
            <w:vAlign w:val="center"/>
          </w:tcPr>
          <w:p>
            <w:r/>
            <w:r>
              <w:rPr>
                <w:b w:val="0"/>
                <w:sz w:val="17"/>
              </w:rPr>
              <w:t>Affidavit of Cash Reserves and Receivables Observation</w:t>
            </w:r>
          </w:p>
        </w:tc>
        <w:tc>
          <w:tcPr>
            <w:tcW w:type="dxa" w:w="2541"/>
            <w:vAlign w:val="center"/>
          </w:tcPr>
          <w:p>
            <w:r/>
            <w:r>
              <w:rPr>
                <w:b w:val="0"/>
                <w:sz w:val="17"/>
              </w:rPr>
              <w:t>Required</w:t>
            </w:r>
          </w:p>
        </w:tc>
        <w:tc>
          <w:tcPr>
            <w:tcW w:type="dxa" w:w="2541"/>
            <w:vAlign w:val="center"/>
          </w:tcPr>
          <w:p>
            <w:r/>
            <w:r>
              <w:rPr>
                <w:b w:val="0"/>
                <w:sz w:val="17"/>
              </w:rPr>
              <w:t>Wes Browning, Manager of Buy Your Home, LLC</w:t>
            </w:r>
          </w:p>
        </w:tc>
        <w:tc>
          <w:tcPr>
            <w:tcW w:type="dxa" w:w="2541"/>
            <w:vAlign w:val="center"/>
          </w:tcPr>
          <w:p>
            <w:r/>
            <w:r>
              <w:rPr>
                <w:b w:val="0"/>
                <w:sz w:val="17"/>
              </w:rPr>
              <w:t>Document observed $24,000 cash and stated reserve/receivable items; notarized closing deliverable.</w:t>
            </w:r>
          </w:p>
        </w:tc>
      </w:tr>
      <w:tr>
        <w:tc>
          <w:tcPr>
            <w:tcW w:type="dxa" w:w="2541"/>
            <w:vAlign w:val="center"/>
          </w:tcPr>
          <w:p>
            <w:r/>
            <w:r>
              <w:rPr>
                <w:b w:val="0"/>
                <w:sz w:val="17"/>
              </w:rPr>
              <w:t>Affidavit of Receipt Package Review and Acceptance</w:t>
            </w:r>
          </w:p>
        </w:tc>
        <w:tc>
          <w:tcPr>
            <w:tcW w:type="dxa" w:w="2541"/>
            <w:vAlign w:val="center"/>
          </w:tcPr>
          <w:p>
            <w:r/>
            <w:r>
              <w:rPr>
                <w:b w:val="0"/>
                <w:sz w:val="17"/>
              </w:rPr>
              <w:t>Required</w:t>
            </w:r>
          </w:p>
        </w:tc>
        <w:tc>
          <w:tcPr>
            <w:tcW w:type="dxa" w:w="2541"/>
            <w:vAlign w:val="center"/>
          </w:tcPr>
          <w:p>
            <w:r/>
            <w:r>
              <w:rPr>
                <w:b w:val="0"/>
                <w:sz w:val="17"/>
              </w:rPr>
              <w:t>Al Bennett, Manager of Investment Services LLC</w:t>
            </w:r>
          </w:p>
        </w:tc>
        <w:tc>
          <w:tcPr>
            <w:tcW w:type="dxa" w:w="2541"/>
            <w:vAlign w:val="center"/>
          </w:tcPr>
          <w:p>
            <w:r/>
            <w:r>
              <w:rPr>
                <w:b w:val="0"/>
                <w:sz w:val="17"/>
              </w:rPr>
              <w:t>Document review of twelve paid receipt documents totaling $112,922.25 and two open receivables totaling $14,000; notarized closing deliverable.</w:t>
            </w:r>
          </w:p>
        </w:tc>
      </w:tr>
      <w:tr>
        <w:tc>
          <w:tcPr>
            <w:tcW w:type="dxa" w:w="2541"/>
            <w:vAlign w:val="center"/>
          </w:tcPr>
          <w:p>
            <w:r/>
            <w:r>
              <w:rPr>
                <w:b w:val="0"/>
                <w:sz w:val="17"/>
              </w:rPr>
              <w:t>Affidavit of Business Judgment Approval Direction</w:t>
            </w:r>
          </w:p>
        </w:tc>
        <w:tc>
          <w:tcPr>
            <w:tcW w:type="dxa" w:w="2541"/>
            <w:vAlign w:val="center"/>
          </w:tcPr>
          <w:p>
            <w:r/>
            <w:r>
              <w:rPr>
                <w:b w:val="0"/>
                <w:sz w:val="17"/>
              </w:rPr>
              <w:t>Recommended / required if seller wants formal business acceptance in file</w:t>
            </w:r>
          </w:p>
        </w:tc>
        <w:tc>
          <w:tcPr>
            <w:tcW w:type="dxa" w:w="2541"/>
            <w:vAlign w:val="center"/>
          </w:tcPr>
          <w:p>
            <w:r/>
            <w:r>
              <w:rPr>
                <w:b w:val="0"/>
                <w:sz w:val="17"/>
              </w:rPr>
              <w:t>Al Bennett, Manager of Investment Services LLC</w:t>
            </w:r>
          </w:p>
        </w:tc>
        <w:tc>
          <w:tcPr>
            <w:tcW w:type="dxa" w:w="2541"/>
            <w:vAlign w:val="center"/>
          </w:tcPr>
          <w:p>
            <w:r/>
            <w:r>
              <w:rPr>
                <w:b w:val="0"/>
                <w:sz w:val="17"/>
              </w:rPr>
              <w:t>Document seller-side business judgment approval while preserving legal/compliance review; notarized closing deliverable.</w:t>
            </w:r>
          </w:p>
        </w:tc>
      </w:tr>
      <w:tr>
        <w:tc>
          <w:tcPr>
            <w:tcW w:type="dxa" w:w="2541"/>
            <w:vAlign w:val="center"/>
          </w:tcPr>
          <w:p>
            <w:r/>
            <w:r>
              <w:rPr>
                <w:b w:val="0"/>
                <w:sz w:val="17"/>
              </w:rPr>
              <w:t>Buyer Identity and Name Confirmation</w:t>
            </w:r>
          </w:p>
        </w:tc>
        <w:tc>
          <w:tcPr>
            <w:tcW w:type="dxa" w:w="2541"/>
            <w:vAlign w:val="center"/>
          </w:tcPr>
          <w:p>
            <w:r/>
            <w:r>
              <w:rPr>
                <w:b w:val="0"/>
                <w:sz w:val="17"/>
              </w:rPr>
              <w:t>Required</w:t>
            </w:r>
          </w:p>
        </w:tc>
        <w:tc>
          <w:tcPr>
            <w:tcW w:type="dxa" w:w="2541"/>
            <w:vAlign w:val="center"/>
          </w:tcPr>
          <w:p>
            <w:r/>
            <w:r>
              <w:rPr>
                <w:b w:val="0"/>
                <w:sz w:val="17"/>
              </w:rPr>
              <w:t>Ever Amarildo Cardoza Bolanos and Maria Geraldina Sarmiento</w:t>
            </w:r>
          </w:p>
        </w:tc>
        <w:tc>
          <w:tcPr>
            <w:tcW w:type="dxa" w:w="2541"/>
            <w:vAlign w:val="center"/>
          </w:tcPr>
          <w:p>
            <w:r/>
            <w:r>
              <w:rPr>
                <w:b w:val="0"/>
                <w:sz w:val="17"/>
              </w:rPr>
              <w:t>Confirm legal names, spelling, and signing buyer roles against passport IDs and the workbook before execution.</w:t>
            </w:r>
          </w:p>
        </w:tc>
      </w:tr>
      <w:tr>
        <w:tc>
          <w:tcPr>
            <w:tcW w:type="dxa" w:w="2541"/>
            <w:vAlign w:val="center"/>
          </w:tcPr>
          <w:p>
            <w:r/>
            <w:r>
              <w:rPr>
                <w:b w:val="0"/>
                <w:sz w:val="17"/>
              </w:rPr>
              <w:t>Funds Receipt / Closing Funds Acknowledgment</w:t>
            </w:r>
          </w:p>
        </w:tc>
        <w:tc>
          <w:tcPr>
            <w:tcW w:type="dxa" w:w="2541"/>
            <w:vAlign w:val="center"/>
          </w:tcPr>
          <w:p>
            <w:r/>
            <w:r>
              <w:rPr>
                <w:b w:val="0"/>
                <w:sz w:val="17"/>
              </w:rPr>
              <w:t>Required</w:t>
            </w:r>
          </w:p>
        </w:tc>
        <w:tc>
          <w:tcPr>
            <w:tcW w:type="dxa" w:w="2541"/>
            <w:vAlign w:val="center"/>
          </w:tcPr>
          <w:p>
            <w:r/>
            <w:r>
              <w:rPr>
                <w:b w:val="0"/>
                <w:sz w:val="17"/>
              </w:rPr>
              <w:t>Buyer and seller-side recipient as CFD/counsel directs</w:t>
            </w:r>
          </w:p>
        </w:tc>
        <w:tc>
          <w:tcPr>
            <w:tcW w:type="dxa" w:w="2541"/>
            <w:vAlign w:val="center"/>
          </w:tcPr>
          <w:p>
            <w:r/>
            <w:r>
              <w:rPr>
                <w:b w:val="0"/>
                <w:sz w:val="17"/>
              </w:rPr>
              <w:t>Document earnest money and remaining down-payment receipt without relying on informal cash statements.</w:t>
            </w:r>
          </w:p>
        </w:tc>
      </w:tr>
    </w:tbl>
    <w:p>
      <w:pPr>
        <w:pStyle w:val="Heading1"/>
      </w:pPr>
      <w:r>
        <w:t>Legal And Compliance Review Items</w:t>
      </w:r>
    </w:p>
    <w:p>
      <w:r>
        <w:t>Official CFPB materials reviewed on June 9, 2026 state that contract-for-deed home sale financing generally is credit under TILA/Regulation Z when a creditor sells a home under a contract for deed and, where secured by the buyer's dwelling, may carry residential mortgage-loan protections. CFPB Regulation Z materials also address seller-financer rules and ability-to-repay standards. This report is not legal advice. Counsel should decide applicability, exemptions, disclosures, loan-originator requirements, closing forms, North Carolina requirements, and adverse-action handling.</w:t>
      </w:r>
    </w:p>
    <w:p>
      <w:pPr>
        <w:pStyle w:val="Heading1"/>
      </w:pPr>
      <w:r>
        <w:t>Recommended Next Step</w:t>
      </w:r>
    </w:p>
    <w:p>
      <w:r>
        <w:t>CFD may prepare the closing package now using the live project spreadsheet and this handoff, while carrying all listed affidavit, funds, authority, title, and compliance items into the closing checklist. Do not mark the transaction ready for closing execution until those items are complete or counsel directs otherwise.</w:t>
      </w:r>
    </w:p>
    <w:p>
      <w:pPr>
        <w:pStyle w:val="Heading1"/>
      </w:pPr>
      <w:r>
        <w:t>Source Basis</w:t>
      </w:r>
    </w:p>
    <w:p>
      <w:pPr>
        <w:pStyle w:val="ListBullet"/>
      </w:pPr>
      <w:r>
        <w:t>Live project spreadsheet: C:\Users\wesbr\Buy Your Home\Buy Your Home - Property\28_Project Management - 320 Rose Pl.xlsm, Docs worksheet.</w:t>
      </w:r>
    </w:p>
    <w:p>
      <w:pPr>
        <w:pStyle w:val="ListBullet"/>
      </w:pPr>
      <w:r>
        <w:t>Buyer source folder mirror: sources/320 Rose Pl - Ever Cardoza.</w:t>
      </w:r>
    </w:p>
    <w:p>
      <w:pPr>
        <w:pStyle w:val="ListBullet"/>
      </w:pPr>
      <w:r>
        <w:t>Zillow applicant details, credit report, and background-check PDFs dated June 4-5, 2026.</w:t>
      </w:r>
    </w:p>
    <w:p>
      <w:pPr>
        <w:pStyle w:val="ListBullet"/>
      </w:pPr>
      <w:r>
        <w:t>Business and personal bank statements copied from the live buyer folder.</w:t>
      </w:r>
    </w:p>
    <w:p>
      <w:pPr>
        <w:pStyle w:val="ListBullet"/>
      </w:pPr>
      <w:r>
        <w:t>Rent payment verification letter and current support affidavit documents in the live buyer folder.</w:t>
      </w:r>
    </w:p>
    <w:p>
      <w:pPr>
        <w:pStyle w:val="ListBullet"/>
      </w:pPr>
      <w:r>
        <w:t>CFPB official Regulation Z and contract-for-deed guidance pages reviewed June 9, 2026: https://www.consumerfinance.gov/rules-policy/final-rules/truth-in-lending-regulation-z-consumer-protections-for-home-sales-financed-under-contracts-for-deed/ ; https://www.consumerfinance.gov/rules-policy/regulations/1026/36 ; https://www.consumerfinance.gov/rules-policy/regulations/1026/43/</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3D1DE5E-A47B-42AA-886D-8CC5DF474D2D}"/>
</file>

<file path=customXml/itemProps3.xml><?xml version="1.0" encoding="utf-8"?>
<ds:datastoreItem xmlns:ds="http://schemas.openxmlformats.org/officeDocument/2006/customXml" ds:itemID="{B49AF843-EDE5-46F3-A58E-21C384591132}"/>
</file>

<file path=customXml/itemProps4.xml><?xml version="1.0" encoding="utf-8"?>
<ds:datastoreItem xmlns:ds="http://schemas.openxmlformats.org/officeDocument/2006/customXml" ds:itemID="{8CDBE71F-64EA-46B9-AC25-72A553F4610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