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ACDE" w14:textId="77777777" w:rsidR="00F077D7" w:rsidRDefault="00000000">
      <w:pPr>
        <w:spacing w:after="240"/>
        <w:jc w:val="center"/>
      </w:pPr>
      <w:r>
        <w:rPr>
          <w:b/>
          <w:sz w:val="28"/>
        </w:rPr>
        <w:t>MEMORANDUM OF UNDERSTANDING</w:t>
      </w:r>
    </w:p>
    <w:p w14:paraId="3C879A1D" w14:textId="77777777" w:rsidR="00F077D7" w:rsidRDefault="00000000">
      <w:pPr>
        <w:spacing w:after="120"/>
      </w:pPr>
      <w:r>
        <w:t>This Memorandum of Understanding ("MoU") is made and entered into as of __________________, 2026 by and between:</w:t>
      </w:r>
    </w:p>
    <w:p w14:paraId="39301FBB" w14:textId="77777777" w:rsidR="00F077D7" w:rsidRDefault="00000000">
      <w:pPr>
        <w:spacing w:after="120"/>
      </w:pPr>
      <w:r>
        <w:t>Wes Browning and Jeanette Hollinger (hereinafter referred to as "Wes and Jenny"), who own and operate the Corporate Entities listed below and hold beneficial interest, directly or indirectly, in all entities.</w:t>
      </w:r>
    </w:p>
    <w:p w14:paraId="063E1092" w14:textId="77777777" w:rsidR="00F077D7" w:rsidRDefault="00000000">
      <w:pPr>
        <w:spacing w:after="120"/>
      </w:pPr>
      <w:r>
        <w:t>Joshua Kennedy (hereinafter referred to as "Manager"), an independent contractor working as a 1099 contractor under contract with the Corporate Entities.</w:t>
      </w:r>
    </w:p>
    <w:p w14:paraId="160E5708" w14:textId="77777777" w:rsidR="00F077D7" w:rsidRDefault="00000000">
      <w:pPr>
        <w:spacing w:after="120"/>
      </w:pPr>
      <w:r>
        <w:t>Collectively, Wes and Jenny and the Manager may be referred to as the "Parties."</w:t>
      </w:r>
    </w:p>
    <w:p w14:paraId="3F2D84E7" w14:textId="77777777" w:rsidR="00F077D7" w:rsidRDefault="00000000">
      <w:pPr>
        <w:spacing w:before="160" w:after="120"/>
      </w:pPr>
      <w:r>
        <w:rPr>
          <w:b/>
          <w:sz w:val="24"/>
        </w:rPr>
        <w:t>Purpose</w:t>
      </w:r>
    </w:p>
    <w:p w14:paraId="50507832" w14:textId="77777777" w:rsidR="00F077D7" w:rsidRDefault="00000000">
      <w:pPr>
        <w:spacing w:after="120"/>
      </w:pPr>
      <w:r>
        <w:t>The businesses have access to the county courthouses and buy properties for which a foreclosure has been initiated. These are the only properties relevant to the Corporate Entities or this MoU.</w:t>
      </w:r>
    </w:p>
    <w:p w14:paraId="3A1FEDAE" w14:textId="77777777" w:rsidR="00F077D7" w:rsidRDefault="00000000">
      <w:pPr>
        <w:spacing w:after="120"/>
      </w:pPr>
      <w:r>
        <w:t>This MoU establishes the roles, responsibilities, obligations, and compensation of the Parties in connection with their involvement in the real estate business, which includes property acquisitions, property holding, rental management, rehabs, and sales/flipping.</w:t>
      </w:r>
    </w:p>
    <w:p w14:paraId="75EE0C0B" w14:textId="77777777" w:rsidR="00F077D7" w:rsidRDefault="00000000">
      <w:pPr>
        <w:spacing w:after="120"/>
      </w:pPr>
      <w:r>
        <w:t>The business operates through the following entities, collectively referred to as the "Corporate Entities":</w:t>
      </w:r>
    </w:p>
    <w:p w14:paraId="4850E80C" w14:textId="77777777" w:rsidR="00F077D7" w:rsidRDefault="00000000">
      <w:pPr>
        <w:spacing w:after="120"/>
      </w:pPr>
      <w:r>
        <w:t>Sell Your Home, LLC</w:t>
      </w:r>
    </w:p>
    <w:p w14:paraId="62E2FD7B" w14:textId="77777777" w:rsidR="00F077D7" w:rsidRDefault="00000000">
      <w:pPr>
        <w:spacing w:after="120"/>
      </w:pPr>
      <w:r>
        <w:t>Buy Your Home, LLC</w:t>
      </w:r>
    </w:p>
    <w:p w14:paraId="392351D1" w14:textId="77777777" w:rsidR="00F077D7" w:rsidRDefault="00000000">
      <w:pPr>
        <w:spacing w:after="120"/>
      </w:pPr>
      <w:r>
        <w:t>Buy Your Home Retirement Plan Trust</w:t>
      </w:r>
    </w:p>
    <w:p w14:paraId="1B069B9D" w14:textId="77777777" w:rsidR="00F077D7" w:rsidRDefault="00000000">
      <w:pPr>
        <w:spacing w:after="120"/>
      </w:pPr>
      <w:r>
        <w:t>Heritage Management LLC</w:t>
      </w:r>
    </w:p>
    <w:p w14:paraId="678CA3F5" w14:textId="77777777" w:rsidR="00F077D7" w:rsidRDefault="00000000">
      <w:pPr>
        <w:spacing w:after="120"/>
      </w:pPr>
      <w:r>
        <w:t>Providence Landing, LLC</w:t>
      </w:r>
    </w:p>
    <w:p w14:paraId="197AEA9D" w14:textId="77777777" w:rsidR="00F077D7" w:rsidRDefault="00000000">
      <w:pPr>
        <w:spacing w:after="120"/>
      </w:pPr>
      <w:r>
        <w:t>Investment Services LLC</w:t>
      </w:r>
    </w:p>
    <w:p w14:paraId="1B873F23" w14:textId="77777777" w:rsidR="00F077D7" w:rsidRDefault="00000000">
      <w:pPr>
        <w:spacing w:before="160" w:after="120"/>
      </w:pPr>
      <w:r>
        <w:rPr>
          <w:b/>
          <w:sz w:val="24"/>
        </w:rPr>
        <w:t>Roles and Responsibilities</w:t>
      </w:r>
    </w:p>
    <w:p w14:paraId="2E8DDABD" w14:textId="77777777" w:rsidR="00F077D7" w:rsidRDefault="00000000">
      <w:pPr>
        <w:spacing w:after="120"/>
      </w:pPr>
      <w:r>
        <w:t>Signing Authority as Manager: The Manager shall serve as Manager only for Sell Your Home, LLC and Investment Services LLC and will sign necessary legal documents in their capacity as Manager of these LLCs, including documents related to trustee-directed real estate transactions, when authorized by Wes and Jenny.</w:t>
      </w:r>
    </w:p>
    <w:p w14:paraId="130D40E8" w14:textId="77777777" w:rsidR="00F077D7" w:rsidRDefault="00000000">
      <w:pPr>
        <w:spacing w:after="120"/>
      </w:pPr>
      <w:r>
        <w:t>Check-Signing Responsibilities: As Manager, Joshua Kennedy may have check-signing authority for Sell Your Home, LLC or other Corporate Entities only as separately authorized by Wes and Jenny and only for business purposes within approved procedures.</w:t>
      </w:r>
    </w:p>
    <w:p w14:paraId="7E7FB941" w14:textId="77777777" w:rsidR="00F077D7" w:rsidRDefault="00000000">
      <w:pPr>
        <w:spacing w:after="120"/>
      </w:pPr>
      <w:r>
        <w:lastRenderedPageBreak/>
        <w:t>Trustee Responsibilities: Investment Services LLC shall be the Trustee for real estate transactions conducted by the Corporate Entities when that structure is used. As the manager of Investment Services LLC, the Manager will sign as manager when directed by Wes and Jenny.</w:t>
      </w:r>
    </w:p>
    <w:p w14:paraId="04F2DC91" w14:textId="77777777" w:rsidR="00F077D7" w:rsidRDefault="00000000">
      <w:pPr>
        <w:spacing w:after="120"/>
      </w:pPr>
      <w:r>
        <w:t>Direction of the Trustee and Manager: The Trustee and the Manager operate under the direction of Wes and Jenny.</w:t>
      </w:r>
    </w:p>
    <w:p w14:paraId="74045428" w14:textId="77777777" w:rsidR="00F077D7" w:rsidRDefault="00000000">
      <w:pPr>
        <w:spacing w:after="120"/>
      </w:pPr>
      <w:r>
        <w:t>Full-Time Commitment: The Manager is expected to devote at least 40 hours per week to the business and to work across all aspects of the business, including acquisitions, courthouse research, property review, transaction support, project coordination, rental management, contractor and vendor coordination, record-keeping, communications, and other operating responsibilities assigned by Wes and Jenny.</w:t>
      </w:r>
    </w:p>
    <w:p>
      <w:pPr>
        <w:spacing w:after="120"/>
      </w:pPr>
      <w:r>
        <w:t>Training to Supervise Projects: The Manager will be in training to supervise projects and will learn project supervision through direct work with Wes and Jenny, project records, contractor coordination, and field experience.</w:t>
      </w:r>
    </w:p>
    <w:p>
      <w:pPr>
        <w:spacing w:after="120"/>
      </w:pPr>
      <w:r>
        <w:t>Skilled Labor Under Contractor Supervision: At the same time, the Manager may work on projects as a skilled laborer under the supervision of other contractors working on those projects, subject to project needs, safety requirements, and the direction of Wes and Jenny.</w:t>
      </w:r>
    </w:p>
    <w:p w14:paraId="651D662F" w14:textId="77777777" w:rsidR="00F077D7" w:rsidRDefault="00000000">
      <w:pPr>
        <w:spacing w:after="120"/>
      </w:pPr>
      <w:r>
        <w:t>Constraints on the Manager Role:</w:t>
      </w:r>
    </w:p>
    <w:p w14:paraId="33E60965" w14:textId="77777777" w:rsidR="00F077D7" w:rsidRDefault="00000000">
      <w:pPr>
        <w:spacing w:after="120"/>
      </w:pPr>
      <w:r>
        <w:t>The Manager responsibilities, processes, and actions shall adhere to the Standard Operating Procedures (SOP) manual established by Wes and Jenny.</w:t>
      </w:r>
    </w:p>
    <w:p w14:paraId="1B0325E2" w14:textId="77777777" w:rsidR="00F077D7" w:rsidRDefault="00000000">
      <w:pPr>
        <w:spacing w:after="120"/>
      </w:pPr>
      <w:r>
        <w:t>The SOP manual provides guidance on acquisitions, transaction execution, record-keeping, compliance, project management, and business operations.</w:t>
      </w:r>
    </w:p>
    <w:p w14:paraId="62D11FCC" w14:textId="77777777" w:rsidR="00F077D7" w:rsidRDefault="00000000">
      <w:pPr>
        <w:spacing w:after="120"/>
      </w:pPr>
      <w:r>
        <w:t>Any deviation from the SOP manual requires written approval from Wes and Jenny.</w:t>
      </w:r>
    </w:p>
    <w:p w14:paraId="0BBDC701" w14:textId="77777777" w:rsidR="00F077D7" w:rsidRDefault="00000000">
      <w:pPr>
        <w:spacing w:after="120"/>
      </w:pPr>
      <w:r>
        <w:t>Acquisitions Process:</w:t>
      </w:r>
    </w:p>
    <w:p w14:paraId="0A882870" w14:textId="77777777" w:rsidR="00F077D7" w:rsidRDefault="00000000">
      <w:pPr>
        <w:spacing w:after="120"/>
      </w:pPr>
      <w:r>
        <w:t>All acquisitions begin by scraping county records and placing potential properties into a ForeclosureList spreadsheet (hereinafter referred to as the "SpreadSheet").</w:t>
      </w:r>
    </w:p>
    <w:p w14:paraId="24841792" w14:textId="77777777" w:rsidR="00F077D7" w:rsidRDefault="00000000">
      <w:pPr>
        <w:spacing w:after="120"/>
      </w:pPr>
      <w:r>
        <w:t>The role of maintaining the SpreadSheet is reserved to Jenny unless she delegates specific tasks in writing.</w:t>
      </w:r>
    </w:p>
    <w:p w14:paraId="7A890F6E" w14:textId="77777777" w:rsidR="00F077D7" w:rsidRDefault="00000000">
      <w:pPr>
        <w:spacing w:after="120"/>
      </w:pPr>
      <w:r>
        <w:t>Property Visits Obligation:</w:t>
      </w:r>
    </w:p>
    <w:p w14:paraId="7721F587" w14:textId="0DF166A0" w:rsidR="00F077D7" w:rsidRDefault="00000000">
      <w:pPr>
        <w:spacing w:after="120"/>
      </w:pPr>
      <w:r>
        <w:t xml:space="preserve">The Manager </w:t>
      </w:r>
      <w:r w:rsidR="007968B9">
        <w:t xml:space="preserve">may </w:t>
      </w:r>
      <w:r>
        <w:t>visit properties newly added to the SpreadSheet in Wake, Johnston, Franklin, Lee, Durham, and Chatham Counties of North Carolina as directed by Wes and Jenny or as required by the SOP manual.</w:t>
      </w:r>
    </w:p>
    <w:p w14:paraId="6CD544EF" w14:textId="427D3422" w:rsidR="00F077D7" w:rsidRDefault="00000000">
      <w:pPr>
        <w:spacing w:after="120"/>
      </w:pPr>
      <w:r>
        <w:t>These visits will be scheduled at the Manager</w:t>
      </w:r>
      <w:r w:rsidR="007968B9">
        <w:t>’s</w:t>
      </w:r>
      <w:r>
        <w:t xml:space="preserve"> discretion, subject to business priorities. They must be routine, frequent, thorough, and documented in the required business records.</w:t>
      </w:r>
    </w:p>
    <w:p w14:paraId="4CC27FA2" w14:textId="77777777" w:rsidR="00F077D7" w:rsidRDefault="00000000">
      <w:pPr>
        <w:spacing w:after="120"/>
      </w:pPr>
      <w:r>
        <w:t>Project and Property Management:</w:t>
      </w:r>
    </w:p>
    <w:p w14:paraId="5CA7389A" w14:textId="77777777" w:rsidR="00F077D7" w:rsidRDefault="00000000">
      <w:pPr>
        <w:spacing w:after="120"/>
      </w:pPr>
      <w:r>
        <w:t>All projects will be managed via the "Project Management" spreadsheet and related systems designed by Wes.</w:t>
      </w:r>
    </w:p>
    <w:p w14:paraId="1633421E" w14:textId="20D1F776" w:rsidR="007968B9" w:rsidRDefault="00000000">
      <w:pPr>
        <w:spacing w:after="120"/>
      </w:pPr>
      <w:r>
        <w:t>The Project Management system will track profit, expenses, entity allocation, and partner or profit-share interests as applicable.</w:t>
      </w:r>
    </w:p>
    <w:p w14:paraId="320F340C" w14:textId="77777777" w:rsidR="007968B9" w:rsidRDefault="007968B9">
      <w:r>
        <w:br w:type="page"/>
      </w:r>
    </w:p>
    <w:p w14:paraId="477C2807" w14:textId="77777777" w:rsidR="00F077D7" w:rsidRDefault="00000000">
      <w:pPr>
        <w:spacing w:before="160" w:after="120"/>
      </w:pPr>
      <w:r>
        <w:rPr>
          <w:b/>
          <w:sz w:val="24"/>
        </w:rPr>
        <w:lastRenderedPageBreak/>
        <w:t>Compensation and Expense Reimbursement</w:t>
      </w:r>
    </w:p>
    <w:p w14:paraId="0118780D" w14:textId="77777777" w:rsidR="00F077D7" w:rsidRDefault="00000000">
      <w:pPr>
        <w:spacing w:after="120"/>
      </w:pPr>
      <w:r>
        <w:t>1099 Compensation: The Manager will be compensated as a 1099 independent contractor based on an annualized amount of $65,000 per year, subject to the parties documenting the payment schedule and any required administrative details separately.</w:t>
      </w:r>
    </w:p>
    <w:p w14:paraId="22C24698" w14:textId="77777777" w:rsidR="00F077D7" w:rsidRDefault="00000000">
      <w:pPr>
        <w:spacing w:after="120"/>
      </w:pPr>
      <w:r>
        <w:t>Entity Allocation: Compensation will be paid proportionately by the Corporate Entities for which work was performed or for which the work created value. Wes and Jenny may determine the reasonable allocation among entities based on project records, time records, transaction records, or other internal accounting records.</w:t>
      </w:r>
    </w:p>
    <w:p w14:paraId="2E1E692D" w14:textId="77777777" w:rsidR="00F077D7" w:rsidRDefault="00000000">
      <w:pPr>
        <w:spacing w:after="120"/>
      </w:pPr>
      <w:r>
        <w:t>Expected Work Level: The annualized compensation assumes the Manager is contributing at least 40 hours per week across the business responsibilities described in this MoU and assigned by Wes and Jenny.</w:t>
      </w:r>
    </w:p>
    <w:p w14:paraId="5FB59D74" w14:textId="77777777" w:rsidR="00F077D7" w:rsidRDefault="00000000">
      <w:pPr>
        <w:spacing w:after="120"/>
      </w:pPr>
      <w:r>
        <w:t>Profit Share: In addition to 1099 compensation, the Manager may receive a profit share equal to 7.5% of realized profit after the business goal of buying at least four (4) properties per year and selling at least three (3) properties per year has been met.</w:t>
      </w:r>
    </w:p>
    <w:p w14:paraId="556652E1" w14:textId="77777777" w:rsidR="00F077D7" w:rsidRDefault="00000000">
      <w:pPr>
        <w:spacing w:after="120"/>
      </w:pPr>
      <w:r>
        <w:t>Realized Profit: For purposes of this MoU, realized profit means profit actually realized by the applicable Corporate Entity or project after closing, sale, payoff, reimbursement, entity expenses, project expenses, debt service, capital repayment, reserves, and other accounting allocations determined through the Project Management system or other approved records.</w:t>
      </w:r>
    </w:p>
    <w:p w14:paraId="51865AE7" w14:textId="77777777" w:rsidR="00F077D7" w:rsidRDefault="00000000">
      <w:pPr>
        <w:spacing w:after="120"/>
      </w:pPr>
      <w:r>
        <w:t>Profit Share Timing and Allocation: Profit share is not earned until the annual buying and selling goal has been met and profit has been realized. Profit share, if earned, will be allocated and paid by the entity or entities that realized the profit, in proportion to the work and profit source as determined from the business records.</w:t>
      </w:r>
    </w:p>
    <w:p>
      <w:pPr>
        <w:spacing w:after="120"/>
      </w:pPr>
      <w:r>
        <w:t>Goal Banking and Averaging: If the acquisition and sale goals are not reached in a specific year, completed acquisitions, completed sales, or shortfalls may be banked and averaged into subsequent years. In that case, profit-sharing eligibility may consider averaged prior periods when determining whether the acquisition and sale goals have been met.</w:t>
      </w:r>
    </w:p>
    <w:p>
      <w:pPr>
        <w:spacing w:before="120" w:after="80"/>
      </w:pPr>
      <w:r>
        <w:rPr>
          <w:b/>
        </w:rPr>
        <w:t>Profit-Sharing Illustration:</w:t>
      </w:r>
    </w:p>
    <w:p>
      <w:pPr>
        <w:spacing w:after="120"/>
      </w:pPr>
      <w:r>
        <w:t>Illustration only: If after the first 12 months the business has bought 3 properties and sold 2, no profit sharing is allocated because the annual target has not been met. If in the second 12-month period the business buys 5 and sells 3, the two-year average becomes 4 properties bought and 2.5 properties sold per year. At the end of that second period, the profit for both years may be shared as defined because the averaged goals have been met.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32"/>
            <w:vAlign w:val="center"/>
            <w:tcMar>
              <w:top w:w="80" w:type="dxa"/>
              <w:left w:w="80" w:type="dxa"/>
              <w:bottom w:w="80" w:type="dxa"/>
              <w:right w:w="80" w:type="dxa"/>
            </w:tcMar>
          </w:tcPr>
          <w:p>
            <w:pPr>
              <w:jc w:val="left"/>
            </w:pPr>
            <w:r>
              <w:rPr>
                <w:b/>
                <w:sz w:val="18"/>
              </w:rPr>
              <w:t>Profit Share Rate</w:t>
            </w:r>
          </w:p>
        </w:tc>
        <w:tc>
          <w:tcPr>
            <w:tcW w:type="dxa" w:w="1944"/>
            <w:vAlign w:val="center"/>
            <w:tcMar>
              <w:top w:w="80" w:type="dxa"/>
              <w:left w:w="80" w:type="dxa"/>
              <w:bottom w:w="80" w:type="dxa"/>
              <w:right w:w="80" w:type="dxa"/>
            </w:tcMar>
          </w:tcPr>
          <w:p>
            <w:pPr>
              <w:jc w:val="center"/>
            </w:pPr>
            <w:r>
              <w:rPr>
                <w:b/>
                <w:sz w:val="18"/>
              </w:rPr>
              <w:t>3 Properties</w:t>
            </w:r>
          </w:p>
        </w:tc>
        <w:tc>
          <w:tcPr>
            <w:tcW w:type="dxa" w:w="1944"/>
            <w:vAlign w:val="center"/>
            <w:tcMar>
              <w:top w:w="80" w:type="dxa"/>
              <w:left w:w="80" w:type="dxa"/>
              <w:bottom w:w="80" w:type="dxa"/>
              <w:right w:w="80" w:type="dxa"/>
            </w:tcMar>
          </w:tcPr>
          <w:p>
            <w:pPr>
              <w:jc w:val="center"/>
            </w:pPr>
            <w:r>
              <w:rPr>
                <w:b/>
                <w:sz w:val="18"/>
              </w:rPr>
              <w:t>4 Properties</w:t>
            </w:r>
          </w:p>
        </w:tc>
        <w:tc>
          <w:tcPr>
            <w:tcW w:type="dxa" w:w="1944"/>
            <w:vAlign w:val="center"/>
            <w:tcMar>
              <w:top w:w="80" w:type="dxa"/>
              <w:left w:w="80" w:type="dxa"/>
              <w:bottom w:w="80" w:type="dxa"/>
              <w:right w:w="80" w:type="dxa"/>
            </w:tcMar>
          </w:tcPr>
          <w:p>
            <w:pPr>
              <w:jc w:val="center"/>
            </w:pPr>
            <w:r>
              <w:rPr>
                <w:b/>
                <w:sz w:val="18"/>
              </w:rPr>
              <w:t>5 Properties</w:t>
            </w:r>
          </w:p>
        </w:tc>
      </w:tr>
      <w:tr>
        <w:tc>
          <w:tcPr>
            <w:tcW w:type="dxa" w:w="2232"/>
            <w:vAlign w:val="center"/>
            <w:tcMar>
              <w:top w:w="80" w:type="dxa"/>
              <w:left w:w="80" w:type="dxa"/>
              <w:bottom w:w="80" w:type="dxa"/>
              <w:right w:w="80" w:type="dxa"/>
            </w:tcMar>
          </w:tcPr>
          <w:p>
            <w:pPr>
              <w:jc w:val="left"/>
            </w:pPr>
            <w:r>
              <w:rPr>
                <w:sz w:val="18"/>
              </w:rPr>
              <w:t>5.00%</w:t>
            </w:r>
          </w:p>
        </w:tc>
        <w:tc>
          <w:tcPr>
            <w:tcW w:type="dxa" w:w="1944"/>
            <w:vAlign w:val="center"/>
            <w:tcMar>
              <w:top w:w="80" w:type="dxa"/>
              <w:left w:w="80" w:type="dxa"/>
              <w:bottom w:w="80" w:type="dxa"/>
              <w:right w:w="80" w:type="dxa"/>
            </w:tcMar>
          </w:tcPr>
          <w:p>
            <w:pPr>
              <w:jc w:val="center"/>
            </w:pPr>
            <w:r>
              <w:rPr>
                <w:sz w:val="18"/>
              </w:rPr>
              <w:t>$16,395</w:t>
            </w:r>
          </w:p>
        </w:tc>
        <w:tc>
          <w:tcPr>
            <w:tcW w:type="dxa" w:w="1944"/>
            <w:vAlign w:val="center"/>
            <w:tcMar>
              <w:top w:w="80" w:type="dxa"/>
              <w:left w:w="80" w:type="dxa"/>
              <w:bottom w:w="80" w:type="dxa"/>
              <w:right w:w="80" w:type="dxa"/>
            </w:tcMar>
          </w:tcPr>
          <w:p>
            <w:pPr>
              <w:jc w:val="center"/>
            </w:pPr>
            <w:r>
              <w:rPr>
                <w:sz w:val="18"/>
              </w:rPr>
              <w:t>$21,859</w:t>
            </w:r>
          </w:p>
        </w:tc>
        <w:tc>
          <w:tcPr>
            <w:tcW w:type="dxa" w:w="1944"/>
            <w:vAlign w:val="center"/>
            <w:tcMar>
              <w:top w:w="80" w:type="dxa"/>
              <w:left w:w="80" w:type="dxa"/>
              <w:bottom w:w="80" w:type="dxa"/>
              <w:right w:w="80" w:type="dxa"/>
            </w:tcMar>
          </w:tcPr>
          <w:p>
            <w:pPr>
              <w:jc w:val="center"/>
            </w:pPr>
            <w:r>
              <w:rPr>
                <w:sz w:val="18"/>
              </w:rPr>
              <w:t>$27,324</w:t>
            </w:r>
          </w:p>
        </w:tc>
      </w:tr>
      <w:tr>
        <w:tc>
          <w:tcPr>
            <w:tcW w:type="dxa" w:w="2232"/>
            <w:vAlign w:val="center"/>
            <w:tcMar>
              <w:top w:w="80" w:type="dxa"/>
              <w:left w:w="80" w:type="dxa"/>
              <w:bottom w:w="80" w:type="dxa"/>
              <w:right w:w="80" w:type="dxa"/>
            </w:tcMar>
          </w:tcPr>
          <w:p>
            <w:pPr>
              <w:jc w:val="left"/>
            </w:pPr>
            <w:r>
              <w:rPr>
                <w:sz w:val="18"/>
              </w:rPr>
              <w:t>7.50%</w:t>
            </w:r>
          </w:p>
        </w:tc>
        <w:tc>
          <w:tcPr>
            <w:tcW w:type="dxa" w:w="1944"/>
            <w:vAlign w:val="center"/>
            <w:tcMar>
              <w:top w:w="80" w:type="dxa"/>
              <w:left w:w="80" w:type="dxa"/>
              <w:bottom w:w="80" w:type="dxa"/>
              <w:right w:w="80" w:type="dxa"/>
            </w:tcMar>
          </w:tcPr>
          <w:p>
            <w:pPr>
              <w:jc w:val="center"/>
            </w:pPr>
            <w:r>
              <w:rPr>
                <w:sz w:val="18"/>
              </w:rPr>
              <w:t>$24,592</w:t>
            </w:r>
          </w:p>
        </w:tc>
        <w:tc>
          <w:tcPr>
            <w:tcW w:type="dxa" w:w="1944"/>
            <w:vAlign w:val="center"/>
            <w:tcMar>
              <w:top w:w="80" w:type="dxa"/>
              <w:left w:w="80" w:type="dxa"/>
              <w:bottom w:w="80" w:type="dxa"/>
              <w:right w:w="80" w:type="dxa"/>
            </w:tcMar>
          </w:tcPr>
          <w:p>
            <w:pPr>
              <w:jc w:val="center"/>
            </w:pPr>
            <w:r>
              <w:rPr>
                <w:sz w:val="18"/>
              </w:rPr>
              <w:t>$32,789</w:t>
            </w:r>
          </w:p>
        </w:tc>
        <w:tc>
          <w:tcPr>
            <w:tcW w:type="dxa" w:w="1944"/>
            <w:vAlign w:val="center"/>
            <w:tcMar>
              <w:top w:w="80" w:type="dxa"/>
              <w:left w:w="80" w:type="dxa"/>
              <w:bottom w:w="80" w:type="dxa"/>
              <w:right w:w="80" w:type="dxa"/>
            </w:tcMar>
          </w:tcPr>
          <w:p>
            <w:pPr>
              <w:jc w:val="center"/>
            </w:pPr>
            <w:r>
              <w:rPr>
                <w:sz w:val="18"/>
              </w:rPr>
              <w:t>$40,986</w:t>
            </w:r>
          </w:p>
        </w:tc>
      </w:tr>
      <w:tr>
        <w:tc>
          <w:tcPr>
            <w:tcW w:type="dxa" w:w="2232"/>
            <w:vAlign w:val="center"/>
            <w:tcMar>
              <w:top w:w="80" w:type="dxa"/>
              <w:left w:w="80" w:type="dxa"/>
              <w:bottom w:w="80" w:type="dxa"/>
              <w:right w:w="80" w:type="dxa"/>
            </w:tcMar>
          </w:tcPr>
          <w:p>
            <w:pPr>
              <w:jc w:val="left"/>
            </w:pPr>
            <w:r>
              <w:rPr>
                <w:sz w:val="18"/>
              </w:rPr>
              <w:t>10.00%</w:t>
            </w:r>
          </w:p>
        </w:tc>
        <w:tc>
          <w:tcPr>
            <w:tcW w:type="dxa" w:w="1944"/>
            <w:vAlign w:val="center"/>
            <w:tcMar>
              <w:top w:w="80" w:type="dxa"/>
              <w:left w:w="80" w:type="dxa"/>
              <w:bottom w:w="80" w:type="dxa"/>
              <w:right w:w="80" w:type="dxa"/>
            </w:tcMar>
          </w:tcPr>
          <w:p>
            <w:pPr>
              <w:jc w:val="center"/>
            </w:pPr>
            <w:r>
              <w:rPr>
                <w:sz w:val="18"/>
              </w:rPr>
              <w:t>$32,789</w:t>
            </w:r>
          </w:p>
        </w:tc>
        <w:tc>
          <w:tcPr>
            <w:tcW w:type="dxa" w:w="1944"/>
            <w:vAlign w:val="center"/>
            <w:tcMar>
              <w:top w:w="80" w:type="dxa"/>
              <w:left w:w="80" w:type="dxa"/>
              <w:bottom w:w="80" w:type="dxa"/>
              <w:right w:w="80" w:type="dxa"/>
            </w:tcMar>
          </w:tcPr>
          <w:p>
            <w:pPr>
              <w:jc w:val="center"/>
            </w:pPr>
            <w:r>
              <w:rPr>
                <w:sz w:val="18"/>
              </w:rPr>
              <w:t>$43,719</w:t>
            </w:r>
          </w:p>
        </w:tc>
        <w:tc>
          <w:tcPr>
            <w:tcW w:type="dxa" w:w="1944"/>
            <w:vAlign w:val="center"/>
            <w:tcMar>
              <w:top w:w="80" w:type="dxa"/>
              <w:left w:w="80" w:type="dxa"/>
              <w:bottom w:w="80" w:type="dxa"/>
              <w:right w:w="80" w:type="dxa"/>
            </w:tcMar>
          </w:tcPr>
          <w:p>
            <w:pPr>
              <w:jc w:val="center"/>
            </w:pPr>
            <w:r>
              <w:rPr>
                <w:sz w:val="18"/>
              </w:rPr>
              <w:t>$54,648</w:t>
            </w:r>
          </w:p>
        </w:tc>
      </w:tr>
      <w:tr>
        <w:tc>
          <w:tcPr>
            <w:tcW w:type="dxa" w:w="2232"/>
            <w:vAlign w:val="center"/>
            <w:tcMar>
              <w:top w:w="80" w:type="dxa"/>
              <w:left w:w="80" w:type="dxa"/>
              <w:bottom w:w="80" w:type="dxa"/>
              <w:right w:w="80" w:type="dxa"/>
            </w:tcMar>
          </w:tcPr>
          <w:p>
            <w:pPr>
              <w:jc w:val="left"/>
            </w:pPr>
            <w:r>
              <w:rPr>
                <w:sz w:val="18"/>
              </w:rPr>
              <w:t>Assumption</w:t>
            </w:r>
          </w:p>
        </w:tc>
        <w:tc>
          <w:tcPr>
            <w:tcW w:type="dxa" w:w="1944"/>
            <w:vAlign w:val="center"/>
            <w:tcMar>
              <w:top w:w="80" w:type="dxa"/>
              <w:left w:w="80" w:type="dxa"/>
              <w:bottom w:w="80" w:type="dxa"/>
              <w:right w:w="80" w:type="dxa"/>
            </w:tcMar>
          </w:tcPr>
          <w:p>
            <w:pPr>
              <w:jc w:val="center"/>
            </w:pPr>
            <w:r>
              <w:rPr>
                <w:sz w:val="18"/>
              </w:rPr>
              <w:t>Average profit per property</w:t>
            </w:r>
          </w:p>
        </w:tc>
        <w:tc>
          <w:tcPr>
            <w:tcW w:type="dxa" w:w="1944"/>
            <w:vAlign w:val="center"/>
            <w:tcMar>
              <w:top w:w="80" w:type="dxa"/>
              <w:left w:w="80" w:type="dxa"/>
              <w:bottom w:w="80" w:type="dxa"/>
              <w:right w:w="80" w:type="dxa"/>
            </w:tcMar>
          </w:tcPr>
          <w:p>
            <w:pPr>
              <w:jc w:val="center"/>
            </w:pPr>
            <w:r>
              <w:rPr>
                <w:sz w:val="18"/>
              </w:rPr>
              <w:t>$109,297</w:t>
            </w:r>
          </w:p>
        </w:tc>
        <w:tc>
          <w:tcPr>
            <w:tcW w:type="dxa" w:w="1944"/>
            <w:vAlign w:val="center"/>
            <w:tcMar>
              <w:top w:w="80" w:type="dxa"/>
              <w:left w:w="80" w:type="dxa"/>
              <w:bottom w:w="80" w:type="dxa"/>
              <w:right w:w="80" w:type="dxa"/>
            </w:tcMar>
          </w:tcPr>
          <w:p>
            <w:pPr>
              <w:jc w:val="center"/>
            </w:pPr>
            <w:r>
              <w:rPr>
                <w:sz w:val="18"/>
              </w:rPr>
              <w:t>Illustration only</w:t>
            </w:r>
          </w:p>
        </w:tc>
      </w:tr>
    </w:tbl>
    <w:p>
      <w:pPr>
        <w:spacing w:after="40"/>
      </w:pPr>
    </w:p>
    <w:p w14:paraId="2A5A2F9A" w14:textId="77777777" w:rsidR="00F077D7" w:rsidRDefault="00000000">
      <w:pPr>
        <w:spacing w:after="120"/>
      </w:pPr>
      <w:r>
        <w:t>Expense Reimbursement: Approved business expenses, including mileage when applicable, may be reimbursed according to the SOP manual or separate written approval by Wes and Jenny. Expense reimbursement is separate from 1099 compensation and profit share.</w:t>
      </w:r>
    </w:p>
    <w:p w14:paraId="60E0FF0F" w14:textId="77777777" w:rsidR="00F077D7" w:rsidRDefault="00000000">
      <w:pPr>
        <w:spacing w:after="120"/>
      </w:pPr>
      <w:r>
        <w:t>Additional Responsibilities Compensation:</w:t>
      </w:r>
    </w:p>
    <w:p w14:paraId="32A5D3AB" w14:textId="77777777" w:rsidR="00F077D7" w:rsidRDefault="00000000">
      <w:pPr>
        <w:spacing w:after="120"/>
      </w:pPr>
      <w:r>
        <w:t>The Manager responsibilities are expected to cover all aspects of the business. Any special compensation outside the 1099 compensation and profit-share arrangement must be negotiated separately in writing based on scope and duties.</w:t>
      </w:r>
    </w:p>
    <w:p w14:paraId="1EB60C35" w14:textId="77777777" w:rsidR="00F077D7" w:rsidRDefault="00000000">
      <w:pPr>
        <w:spacing w:before="160" w:after="120"/>
      </w:pPr>
      <w:r>
        <w:rPr>
          <w:b/>
          <w:sz w:val="24"/>
        </w:rPr>
        <w:t>Mentorship and Training Material Access</w:t>
      </w:r>
    </w:p>
    <w:p w14:paraId="48FF12DD" w14:textId="77777777" w:rsidR="00F077D7" w:rsidRDefault="00000000">
      <w:pPr>
        <w:spacing w:after="120"/>
      </w:pPr>
      <w:r>
        <w:t>The Manager will receive mentorship in all aspects of the business.</w:t>
      </w:r>
    </w:p>
    <w:p w14:paraId="7C83784E" w14:textId="77777777" w:rsidR="00F077D7" w:rsidRDefault="00000000">
      <w:pPr>
        <w:spacing w:after="120"/>
      </w:pPr>
      <w:r>
        <w:t>The Manager will have access to training material purchased and used by Wes and Jenny, unless explicitly prohibited by the provider.</w:t>
      </w:r>
    </w:p>
    <w:p w14:paraId="5AAB483D" w14:textId="77777777" w:rsidR="00F077D7" w:rsidRDefault="00000000">
      <w:pPr>
        <w:spacing w:before="160" w:after="120"/>
      </w:pPr>
      <w:r>
        <w:rPr>
          <w:b/>
          <w:sz w:val="24"/>
        </w:rPr>
        <w:t>Contract Duration and Non-Compete Clause</w:t>
      </w:r>
    </w:p>
    <w:p w14:paraId="77FF2865" w14:textId="77777777" w:rsidR="00F077D7" w:rsidRDefault="00000000">
      <w:pPr>
        <w:spacing w:after="120"/>
      </w:pPr>
      <w:r>
        <w:t>Duration: This contract shall remain in effect for three (3) years from the date of execution unless terminated earlier under this MoU.</w:t>
      </w:r>
    </w:p>
    <w:p w14:paraId="12BD9B89" w14:textId="77777777" w:rsidR="00F077D7" w:rsidRDefault="00000000">
      <w:pPr>
        <w:spacing w:after="120"/>
      </w:pPr>
      <w:r>
        <w:lastRenderedPageBreak/>
        <w:t>Non-Compete Agreement:</w:t>
      </w:r>
    </w:p>
    <w:p w14:paraId="0F049F87" w14:textId="77777777" w:rsidR="00F077D7" w:rsidRDefault="00000000">
      <w:pPr>
        <w:spacing w:after="120"/>
      </w:pPr>
      <w:r>
        <w:t>If the Manager leaves the business, other than by mutual agreement, before the end of the contract term, they will be prohibited from engaging in any real estate investment, home-flipping, or similar business activities within Wake, Johnston, Franklin, Lee, Durham, and Chatham Counties until the contract period expires, to the extent permitted by applicable law.</w:t>
      </w:r>
    </w:p>
    <w:p w14:paraId="3F68BFD5" w14:textId="77777777" w:rsidR="00F077D7" w:rsidRDefault="00000000">
      <w:pPr>
        <w:spacing w:before="160" w:after="120"/>
      </w:pPr>
      <w:r>
        <w:rPr>
          <w:b/>
          <w:sz w:val="24"/>
        </w:rPr>
        <w:t>Termination</w:t>
      </w:r>
    </w:p>
    <w:p w14:paraId="3094144A" w14:textId="77777777" w:rsidR="00F077D7" w:rsidRDefault="00000000">
      <w:pPr>
        <w:spacing w:after="120"/>
      </w:pPr>
      <w:r>
        <w:t>Either Party may terminate this MoU in the event of material breach, misconduct, or failure to fulfill responsibilities.</w:t>
      </w:r>
    </w:p>
    <w:p w14:paraId="3BDB206B" w14:textId="77777777" w:rsidR="00F077D7" w:rsidRDefault="00000000">
      <w:pPr>
        <w:spacing w:after="120"/>
      </w:pPr>
      <w:r>
        <w:t>The MoU may be terminated by mutual written agreement at any time.</w:t>
      </w:r>
    </w:p>
    <w:p w14:paraId="607771ED" w14:textId="77777777" w:rsidR="00F077D7" w:rsidRDefault="00000000">
      <w:pPr>
        <w:spacing w:after="120"/>
      </w:pPr>
      <w:r>
        <w:t>Termination requires 30 days written notice by either Party unless immediate termination is justified by misconduct, fraud, misuse of authority, or other serious breach.</w:t>
      </w:r>
    </w:p>
    <w:p w14:paraId="615A6EC2" w14:textId="77777777" w:rsidR="00F077D7" w:rsidRDefault="00000000">
      <w:pPr>
        <w:spacing w:after="120"/>
      </w:pPr>
      <w:r>
        <w:t>Upon termination, unpaid earned 1099 compensation and approved reimbursable expenses will be handled according to the business records. Any profit share will be payable only if the conditions for earning that profit share were met before termination and realized profit exists under the terms of this MoU.</w:t>
      </w:r>
    </w:p>
    <w:p w14:paraId="6557E443" w14:textId="77777777" w:rsidR="00F077D7" w:rsidRDefault="00000000">
      <w:pPr>
        <w:spacing w:before="160" w:after="120"/>
      </w:pPr>
      <w:r>
        <w:rPr>
          <w:b/>
          <w:sz w:val="24"/>
        </w:rPr>
        <w:t>Governing Law</w:t>
      </w:r>
    </w:p>
    <w:p w14:paraId="77DCCBBB" w14:textId="77777777" w:rsidR="00F077D7" w:rsidRDefault="00000000">
      <w:pPr>
        <w:spacing w:after="120"/>
      </w:pPr>
      <w:r>
        <w:t>This MoU shall be governed by and construed in accordance with the laws of the State of North Carolina.</w:t>
      </w:r>
    </w:p>
    <w:p w14:paraId="6C80CCA0" w14:textId="77777777" w:rsidR="00F077D7" w:rsidRDefault="00000000">
      <w:pPr>
        <w:spacing w:after="120"/>
      </w:pPr>
      <w:r>
        <w:rPr>
          <w:b/>
          <w:sz w:val="24"/>
        </w:rPr>
        <w:t>Publication and Marketing Rights</w:t>
      </w:r>
    </w:p>
    <w:p w14:paraId="24371488" w14:textId="77777777" w:rsidR="00F077D7" w:rsidRDefault="00000000">
      <w:pPr>
        <w:spacing w:after="120"/>
      </w:pPr>
      <w:r>
        <w:t>The Manager acknowledges that Wes and Jenny, the Corporate Entities, and their related businesses may create, publish, distribute, display, promote, sell, and otherwise use books, videos, audio recordings, photographs, written descriptions, biographies, case studies, testimonials, social media content, websites, advertisements, training materials, investor materials, and other marketing or educational materials that include the Manager name, likeness, image, voice, appearance, role, work, story, description, or biographical information.</w:t>
      </w:r>
    </w:p>
    <w:p w14:paraId="701B695D" w14:textId="77777777" w:rsidR="00F077D7" w:rsidRDefault="00000000">
      <w:pPr>
        <w:spacing w:after="120"/>
      </w:pPr>
      <w:r>
        <w:t>The Manager grants Wes and Jenny and the Corporate Entities the right to use, reproduce, edit, publish, display, distribute, and create derivative works from those materials in any media or format, whether now known or later developed, for business, marketing, educational, investor-relations, training, promotional, documentary, or related purposes.</w:t>
      </w:r>
    </w:p>
    <w:p w14:paraId="66A60B52" w14:textId="77777777" w:rsidR="00F077D7" w:rsidRDefault="00000000">
      <w:pPr>
        <w:spacing w:after="120"/>
      </w:pPr>
      <w:r>
        <w:t>This grant includes the right to use the Manager likeness and description in connection with the Corporate Entities and their business activities without additional compensation beyond the compensation described in this MoU, unless the Parties separately agree in writing.</w:t>
      </w:r>
    </w:p>
    <w:p w14:paraId="0B0D306B" w14:textId="77777777" w:rsidR="00F077D7" w:rsidRDefault="00000000">
      <w:pPr>
        <w:spacing w:after="120"/>
      </w:pPr>
      <w:r>
        <w:t>The Corporate Entities may continue to use materials created or captured during the term of this MoU after the MoU ends, provided the use is not knowingly false or materially misleading as to the Manager then-current relationship with the Corporate Entities.</w:t>
      </w:r>
    </w:p>
    <w:p w14:paraId="1407345E" w14:textId="77777777" w:rsidR="00F077D7" w:rsidRDefault="00000000">
      <w:pPr>
        <w:spacing w:before="160" w:after="120"/>
      </w:pPr>
      <w:r>
        <w:rPr>
          <w:b/>
          <w:sz w:val="24"/>
        </w:rPr>
        <w:lastRenderedPageBreak/>
        <w:t>Miscellaneous</w:t>
      </w:r>
    </w:p>
    <w:p w14:paraId="7370B62A" w14:textId="77777777" w:rsidR="00F077D7" w:rsidRDefault="00000000">
      <w:pPr>
        <w:spacing w:after="120"/>
      </w:pPr>
      <w:r>
        <w:t>This MoU supersedes any prior agreements on the same subject between the Parties.</w:t>
      </w:r>
    </w:p>
    <w:p w14:paraId="4609560E" w14:textId="77777777" w:rsidR="00F077D7" w:rsidRDefault="00000000">
      <w:pPr>
        <w:spacing w:after="120"/>
      </w:pPr>
      <w:r>
        <w:t>Amendments must be in writing and signed by both Parties.</w:t>
      </w:r>
    </w:p>
    <w:p w14:paraId="6F372708" w14:textId="77777777" w:rsidR="00F077D7" w:rsidRDefault="00000000">
      <w:pPr>
        <w:spacing w:before="160" w:after="120"/>
      </w:pPr>
      <w:r>
        <w:rPr>
          <w:b/>
          <w:sz w:val="24"/>
        </w:rPr>
        <w:t>This MoU Exclusions</w:t>
      </w:r>
    </w:p>
    <w:p w14:paraId="31E156D7" w14:textId="77777777" w:rsidR="00F077D7" w:rsidRDefault="00000000">
      <w:pPr>
        <w:spacing w:after="120"/>
      </w:pPr>
      <w:r>
        <w:t>This MoU pertains only to foreclosure-related real estate business conducted through or using the Corporate Entities, their systems, resources, leads, templates, or processes within the State of North Carolina.</w:t>
      </w:r>
    </w:p>
    <w:p w14:paraId="2CCD568A" w14:textId="77777777" w:rsidR="00F077D7" w:rsidRDefault="00000000">
      <w:pPr>
        <w:spacing w:after="120"/>
      </w:pPr>
      <w:r>
        <w:t>Other investments by the Manager are not constrained by this document unless they use Corporate Entity resources, leads, systems, templates, trust structures, proprietary software, or processes, or unless otherwise restricted by this MoU or a separate written agreement.</w:t>
      </w:r>
    </w:p>
    <w:p w14:paraId="5C7DBD34" w14:textId="77777777" w:rsidR="00F077D7" w:rsidRDefault="00000000">
      <w:pPr>
        <w:spacing w:after="120"/>
      </w:pPr>
      <w:r>
        <w:t>The Manager may list investments that he would like excluded here:</w:t>
      </w:r>
    </w:p>
    <w:p w14:paraId="5ED06242" w14:textId="77777777" w:rsidR="00F077D7" w:rsidRDefault="00000000">
      <w:pPr>
        <w:spacing w:before="160" w:after="120"/>
      </w:pPr>
      <w:r>
        <w:rPr>
          <w:b/>
          <w:sz w:val="24"/>
        </w:rPr>
        <w:t>Signatures</w:t>
      </w:r>
    </w:p>
    <w:p w14:paraId="7B566D2B" w14:textId="77777777" w:rsidR="00F077D7" w:rsidRDefault="00000000">
      <w:pPr>
        <w:spacing w:after="120"/>
      </w:pPr>
      <w:r>
        <w:t>IN WITNESS WHEREOF, the Parties hereto have executed this MoU as of the date first above written.</w:t>
      </w:r>
    </w:p>
    <w:tbl>
      <w:tblPr>
        <w:tblStyle w:val="TableGrid"/>
        <w:tblW w:w="0" w:type="auto"/>
        <w:tblLook w:val="04A0" w:firstRow="1" w:lastRow="0" w:firstColumn="1" w:lastColumn="0" w:noHBand="0" w:noVBand="1"/>
      </w:tblPr>
      <w:tblGrid>
        <w:gridCol w:w="3120"/>
        <w:gridCol w:w="3120"/>
        <w:gridCol w:w="3120"/>
      </w:tblGrid>
      <w:tr w:rsidR="00F077D7" w14:paraId="591D4561" w14:textId="77777777">
        <w:tc>
          <w:tcPr>
            <w:tcW w:w="3120" w:type="dxa"/>
          </w:tcPr>
          <w:p w14:paraId="3DA6F9BD" w14:textId="77777777" w:rsidR="00F077D7" w:rsidRDefault="00000000">
            <w:r>
              <w:t>Wes Browning</w:t>
            </w:r>
          </w:p>
        </w:tc>
        <w:tc>
          <w:tcPr>
            <w:tcW w:w="3120" w:type="dxa"/>
          </w:tcPr>
          <w:p w14:paraId="49C7AFE3" w14:textId="77777777" w:rsidR="00F077D7" w:rsidRDefault="00000000">
            <w:r>
              <w:t>[Signature]</w:t>
            </w:r>
          </w:p>
        </w:tc>
        <w:tc>
          <w:tcPr>
            <w:tcW w:w="3120" w:type="dxa"/>
          </w:tcPr>
          <w:p w14:paraId="0CB36458" w14:textId="77777777" w:rsidR="00F077D7" w:rsidRDefault="00000000">
            <w:r>
              <w:t>[Date]</w:t>
            </w:r>
          </w:p>
        </w:tc>
      </w:tr>
      <w:tr w:rsidR="00F077D7" w14:paraId="4A99EB67" w14:textId="77777777">
        <w:tc>
          <w:tcPr>
            <w:tcW w:w="3120" w:type="dxa"/>
          </w:tcPr>
          <w:p w14:paraId="52FB8A08" w14:textId="77777777" w:rsidR="00F077D7" w:rsidRDefault="00000000">
            <w:r>
              <w:t>Jeanette Hollinger</w:t>
            </w:r>
          </w:p>
        </w:tc>
        <w:tc>
          <w:tcPr>
            <w:tcW w:w="3120" w:type="dxa"/>
          </w:tcPr>
          <w:p w14:paraId="16EB2F0C" w14:textId="77777777" w:rsidR="00F077D7" w:rsidRDefault="00000000">
            <w:r>
              <w:t>[Signature]</w:t>
            </w:r>
          </w:p>
        </w:tc>
        <w:tc>
          <w:tcPr>
            <w:tcW w:w="3120" w:type="dxa"/>
          </w:tcPr>
          <w:p w14:paraId="5778A68A" w14:textId="77777777" w:rsidR="00F077D7" w:rsidRDefault="00000000">
            <w:r>
              <w:t>[Date]</w:t>
            </w:r>
          </w:p>
        </w:tc>
      </w:tr>
      <w:tr w:rsidR="00F077D7" w14:paraId="6853C983" w14:textId="77777777">
        <w:tc>
          <w:tcPr>
            <w:tcW w:w="3120" w:type="dxa"/>
          </w:tcPr>
          <w:p w14:paraId="0DE89E25" w14:textId="77777777" w:rsidR="00F077D7" w:rsidRDefault="00000000">
            <w:r>
              <w:t>Joshua Kennedy (Manager / 1099 Contractor)</w:t>
            </w:r>
          </w:p>
        </w:tc>
        <w:tc>
          <w:tcPr>
            <w:tcW w:w="3120" w:type="dxa"/>
          </w:tcPr>
          <w:p w14:paraId="3007AF1C" w14:textId="77777777" w:rsidR="00F077D7" w:rsidRDefault="00000000">
            <w:r>
              <w:t>[Signature]</w:t>
            </w:r>
          </w:p>
        </w:tc>
        <w:tc>
          <w:tcPr>
            <w:tcW w:w="3120" w:type="dxa"/>
          </w:tcPr>
          <w:p w14:paraId="31D58B75" w14:textId="77777777" w:rsidR="00F077D7" w:rsidRDefault="00000000">
            <w:r>
              <w:t>[Date]</w:t>
            </w:r>
          </w:p>
        </w:tc>
      </w:tr>
    </w:tbl>
    <w:p w14:paraId="7166A7C3" w14:textId="77777777" w:rsidR="0053277A" w:rsidRDefault="0053277A"/>
    <w:sectPr w:rsidR="005327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526441">
    <w:abstractNumId w:val="8"/>
  </w:num>
  <w:num w:numId="2" w16cid:durableId="716126424">
    <w:abstractNumId w:val="6"/>
  </w:num>
  <w:num w:numId="3" w16cid:durableId="209807195">
    <w:abstractNumId w:val="5"/>
  </w:num>
  <w:num w:numId="4" w16cid:durableId="1983534713">
    <w:abstractNumId w:val="4"/>
  </w:num>
  <w:num w:numId="5" w16cid:durableId="1950157640">
    <w:abstractNumId w:val="7"/>
  </w:num>
  <w:num w:numId="6" w16cid:durableId="1183125186">
    <w:abstractNumId w:val="3"/>
  </w:num>
  <w:num w:numId="7" w16cid:durableId="1175000974">
    <w:abstractNumId w:val="2"/>
  </w:num>
  <w:num w:numId="8" w16cid:durableId="1965966149">
    <w:abstractNumId w:val="1"/>
  </w:num>
  <w:num w:numId="9" w16cid:durableId="17072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77A"/>
    <w:rsid w:val="006414AC"/>
    <w:rsid w:val="007968B9"/>
    <w:rsid w:val="00AA1D8D"/>
    <w:rsid w:val="00B47730"/>
    <w:rsid w:val="00CB0664"/>
    <w:rsid w:val="00F07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F811F"/>
  <w14:defaultImageDpi w14:val="300"/>
  <w15:docId w15:val="{ED58E078-CFDB-4A8C-AC9C-1DFD989A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1502</Words>
  <Characters>8897</Characters>
  <Application>Microsoft Office Word</Application>
  <DocSecurity>0</DocSecurity>
  <Lines>158</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SYH Manager - Joshua Kennedy</dc:title>
  <dc:subject>Draft MOU for Joshua Kennedy manager role</dc:subject>
  <dc:creator>Buy Your Home</dc:creator>
  <cp:keywords/>
  <dc:description>Draft created from prior SYH Manager MOU; requires legal/business review before signing.</dc:description>
  <cp:lastModifiedBy>Wes Will Buy Your Home</cp:lastModifiedBy>
  <cp:revision>3</cp:revision>
  <dcterms:created xsi:type="dcterms:W3CDTF">2013-12-23T23:15:00Z</dcterms:created>
  <dcterms:modified xsi:type="dcterms:W3CDTF">2026-07-01T13:49:00Z</dcterms:modified>
  <cp:category/>
</cp:coreProperties>
</file>