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Hoja de Términos</w:t>
      </w:r>
    </w:p>
    <w:p>
      <w:pPr>
        <w:jc w:val="center"/>
      </w:pPr>
      <w:r>
        <w:rPr>
          <w:b/>
        </w:rPr>
        <w:t>Venta propuesta por Contrato de Compraventa con Escritura Diferida - 4121 Tensity Dr, Raleigh, NC 27604</w:t>
      </w:r>
    </w:p>
    <w:p>
      <w:pPr>
        <w:jc w:val="center"/>
      </w:pPr>
      <w:r>
        <w:t>Preparado: 25 de junio de 2026 | Versión del borrador: 26-06-25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i/>
              </w:rPr>
              <w:t>Estado y límites: Esta hoja de términos resume condiciones comerciales propuestas para revisión y conversación. No es el contrato final, no transfiere título, y está sujeta a los documentos finales, la documentación requerida de títulos/remolques, la revisión de calificación del comprador y la revisión de abogado. Si esta hoja de términos entra en conflicto con los documentos finales firmados, controlan los documentos finales firmados.</w:t>
            </w:r>
          </w:p>
        </w:tc>
      </w:tr>
    </w:tbl>
    <w:p>
      <w:pPr>
        <w:pStyle w:val="Heading2"/>
        <w:spacing w:before="160" w:after="60"/>
      </w:pPr>
      <w:r>
        <w:rPr>
          <w:b/>
        </w:rPr>
        <w:t>1. Resumen verbal</w:t>
      </w:r>
    </w:p>
    <w:p>
      <w:pPr>
        <w:spacing w:after="80"/>
      </w:pPr>
      <w:r>
        <w:t>Selvin Santos compraría 4121 Tensity Dr bajo una estructura propuesta de Contrato de Compraventa con Escritura Diferida por $346,500.00. La consideración propuesta se estructura como $34,650.00 en efectivo al cierre, $225,450.00 en crédito condicional por propiedades entregadas en intercambio, y $80,400.00 de principal financiado por el vendedor.</w:t>
      </w:r>
    </w:p>
    <w:p>
      <w:pPr>
        <w:pStyle w:val="Heading2"/>
        <w:spacing w:before="160" w:after="60"/>
      </w:pPr>
      <w:r>
        <w:rPr>
          <w:b/>
        </w:rPr>
        <w:t>2. Partes y propiedad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Término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Detalle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Vendedor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Heritage Management LLC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Estructura de fideicomiso / fiduciario para documentos finales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4121 Tensity Dr Real Estate Trust dated March, 5 2025, por medio de Investment Services LLC, Fiduciario; Gerente: Wes Browning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Dirección postal del fiduciario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1309 Coffeen Avenue, STE 1200, Sheridan, Wyoming 82801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Comprador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Selvin Santos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Dirección del comprador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5021 Sunnyfield Dr, Unit 164, Raleigh, NC 27604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Propiedad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4121 Tensity Dr, Raleigh, NC 27604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Condado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Wake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Número de parcela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[no indicado]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Resumen de descripción legal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[no indicado]</w:t>
            </w:r>
          </w:p>
        </w:tc>
      </w:tr>
    </w:tbl>
    <w:p>
      <w:pPr>
        <w:pStyle w:val="Heading2"/>
        <w:spacing w:before="160" w:after="60"/>
      </w:pPr>
      <w:r>
        <w:rPr>
          <w:b/>
        </w:rPr>
        <w:t>3. Consideración propuesta</w:t>
      </w:r>
    </w:p>
    <w:p>
      <w:pPr>
        <w:spacing w:after="80"/>
      </w:pPr>
      <w:r>
        <w:t>La transacción propuesta por Contrato de Compraventa con Escritura Diferida separa la consideración en efectivo, el crédito por propiedades entregadas en intercambio y la financiación del vendedor para que el contrato final pueda mostrar cada parte claramente.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Término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Detalle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Precio de compra propuesto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$346,500.00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Dinero de seriedad al firmar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$6,000.00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Efectivo debido al cierre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$34,650.00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Crédito por tres casas manufacturadas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$225,450.00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Total de pago inicial / créditos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$266,100.00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Principal financiado por el vendedor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$80,400.00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Asignación del precio de compra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$34,650.00 en efectivo + $225,450.00 de crédito por intercambio + $80,400.00 de principal financiado por el vendedor = $346,500.00 de precio de compra propuesto</w:t>
            </w:r>
          </w:p>
        </w:tc>
      </w:tr>
    </w:tbl>
    <w:p>
      <w:r>
        <w:br w:type="page"/>
      </w:r>
    </w:p>
    <w:p>
      <w:pPr>
        <w:pStyle w:val="Heading2"/>
        <w:spacing w:before="160" w:after="60"/>
      </w:pPr>
      <w:r>
        <w:rPr>
          <w:b/>
        </w:rPr>
        <w:t>4. Propiedades de intercambio que entregará el comprador</w:t>
      </w:r>
    </w:p>
    <w:p>
      <w:pPr>
        <w:spacing w:after="80"/>
      </w:pPr>
      <w:r>
        <w:t>Se espera que el comprador transfiera título o derechos de propiedad sobre las siguientes casas manufacturadas como parte de la consideración. El crédito de intercambio permanece condicional hasta que se completen y acepten las entregas y aprobaciones requeridas para el cierre.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Propiedad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Crédito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Estado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5009 Sunnyfield Dr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Sencilla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>
              <w:rPr>
                <w:sz w:val="17"/>
              </w:rPr>
              <w:t>$63,000.00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7"/>
              </w:rPr>
              <w:t>Requerido antes del crédito final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5021 Sunnyfield Dr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Doble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>
              <w:rPr>
                <w:sz w:val="17"/>
              </w:rPr>
              <w:t>$93,600.00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7"/>
              </w:rPr>
              <w:t>Requerido antes del crédito final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5512 Desert Willow Ln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Sencilla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>
              <w:rPr>
                <w:sz w:val="17"/>
              </w:rPr>
              <w:t>$68,850.00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7"/>
              </w:rPr>
              <w:t>Requerido antes del crédito final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Crédito total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$225,450.00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Sujeto al anexo</w:t>
            </w:r>
          </w:p>
        </w:tc>
      </w:tr>
    </w:tbl>
    <w:p>
      <w:pPr>
        <w:pStyle w:val="Heading2"/>
        <w:spacing w:before="160" w:after="60"/>
      </w:pPr>
      <w:r>
        <w:rPr>
          <w:b/>
        </w:rPr>
        <w:t>5. Condiciones y anexo de propiedades de intercambio</w:t>
      </w:r>
    </w:p>
    <w:p>
      <w:pPr>
        <w:spacing w:after="80"/>
      </w:pPr>
      <w:r>
        <w:t>El crédito de intercambio no es final hasta que los títulos o documentos de venta, liberaciones de gravámenes o documentación de pago, posesión/llaves, información de inquilinos y rentas, y aprobaciones del parque/lote sean entregados y aceptados.</w:t>
      </w:r>
    </w:p>
    <w:p>
      <w:pPr>
        <w:spacing w:after="80"/>
      </w:pPr>
      <w:r>
        <w:t>El anexo controla título, posesión, aprobación del parque, gravámenes, rentas de inquilinos, verificación, condición y remedios.</w:t>
      </w:r>
    </w:p>
    <w:p>
      <w:pPr>
        <w:spacing w:after="80"/>
      </w:pPr>
      <w:r>
        <w:t>El crédito de intercambio permanece condicional hasta que los documentos requeridos, aprobaciones, posesión/llaves, información de inquilinos/rentas, y liberaciones de gravámenes o documentación de pago sean entregados y aceptados.</w:t>
      </w:r>
    </w:p>
    <w:p>
      <w:pPr>
        <w:spacing w:after="80"/>
      </w:pPr>
      <w:r>
        <w:t>Si algún título, liberación de gravamen, aprobación del parque, información de inquilinos/rentas, posesión, o asunto de condición no se entrega y acepta, los documentos finales deben indicar si el crédito faltante se convierte en efectivo adicional debido, una reducción del precio de compra, una falla de condición de cierre, u otro remedio acordado.</w:t>
      </w:r>
    </w:p>
    <w:p>
      <w:pPr>
        <w:spacing w:after="80"/>
      </w:pPr>
      <w:r>
        <w:t>Los valores propuestos permanecen como datos de análisis hasta que las condiciones requeridas de las propiedades de intercambio sean satisfechas y aceptadas.</w:t>
      </w:r>
    </w:p>
    <w:p>
      <w:pPr>
        <w:pStyle w:val="Heading2"/>
        <w:spacing w:before="160" w:after="60"/>
      </w:pPr>
      <w:r>
        <w:rPr>
          <w:b/>
        </w:rPr>
        <w:t>6. Financiación del vendedor y términos del pagaré del comprador</w:t>
      </w:r>
    </w:p>
    <w:p>
      <w:pPr>
        <w:spacing w:after="80"/>
      </w:pPr>
      <w:r>
        <w:t>Se espera que el saldo financiado por el vendedor quede evidenciado por un pagaré del comprador y sea llevado bajo el Contrato de Compraventa con Escritura Diferida, salvo que el abogado indique una estructura final diferente.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Término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Detalle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Deudor del pagaré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Selvin Santos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Beneficiario del pagaré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Heritage Management LLC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Propósito / dirección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Pagaré del comprador al vendedor por el principal financiado por el vendedor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Suma principal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$80,400.00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Tasa de interés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7.750%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Pago de principal e interés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$1,036.89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Meses de cuotas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120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Fecha del primer pago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1 de julio de 2026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Fecha final programada de pago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1 de junio de 2036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Pago global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$0.00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Texto de pago global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[no indicado]</w:t>
            </w:r>
          </w:p>
        </w:tc>
      </w:tr>
    </w:tbl>
    <w:p>
      <w:pPr>
        <w:pStyle w:val="Heading2"/>
        <w:spacing w:before="160" w:after="60"/>
      </w:pPr>
      <w:r>
        <w:rPr>
          <w:b/>
        </w:rPr>
        <w:t>7. Componentes estimados del pago mensual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Término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Detalle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Pago de principal e interés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$1,036.89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Reserva mensual para impuestos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$188.55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Reserva mensual para seguro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$134.17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HOA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$0.00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Pago mensual total estimado si se cobran reservas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sz w:val="19"/>
              </w:rPr>
              <w:t>$1,359.61</w:t>
            </w:r>
          </w:p>
        </w:tc>
      </w:tr>
    </w:tbl>
    <w:p>
      <w:pPr>
        <w:pStyle w:val="Heading2"/>
        <w:spacing w:before="160" w:after="60"/>
      </w:pPr>
      <w:r>
        <w:rPr>
          <w:b/>
        </w:rPr>
        <w:t>8. Documentos esperados para el paquete final</w:t>
      </w:r>
    </w:p>
    <w:p>
      <w:pPr>
        <w:spacing w:after="80"/>
      </w:pPr>
      <w:r>
        <w:t>Contrato de Compraventa con Escritura Diferida para 4121 Tensity Dr.</w:t>
      </w:r>
    </w:p>
    <w:p>
      <w:pPr>
        <w:spacing w:after="80"/>
      </w:pPr>
      <w:r>
        <w:t>Pagaré del comprador al vendedor mostrando $80,400.00 de principal, 7.750% de interés, y $1,036.89 de pago mensual de principal e interés, salvo que el abogado indique una estructura final diferente.</w:t>
      </w:r>
    </w:p>
    <w:p>
      <w:pPr>
        <w:spacing w:after="80"/>
      </w:pPr>
      <w:r>
        <w:t>Memorándum del Contrato de Compraventa con Escritura Diferida para registro, si es aprobado por abogado.</w:t>
      </w:r>
    </w:p>
    <w:p>
      <w:pPr>
        <w:spacing w:after="80"/>
      </w:pPr>
      <w:r>
        <w:t>Anexo de propiedades de intercambio para las tres casas manufacturadas.</w:t>
      </w:r>
    </w:p>
    <w:p>
      <w:pPr>
        <w:spacing w:after="80"/>
      </w:pPr>
      <w:r>
        <w:t>Anexo de reconocimientos del comprador y cualquier divulgación requerida.</w:t>
      </w:r>
    </w:p>
    <w:p>
      <w:pPr>
        <w:pStyle w:val="Heading2"/>
        <w:spacing w:before="160" w:after="60"/>
      </w:pPr>
      <w:r>
        <w:rPr>
          <w:b/>
        </w:rPr>
        <w:t>9. Asuntos para confirmar antes de documentos finales</w:t>
      </w:r>
    </w:p>
    <w:p>
      <w:pPr>
        <w:spacing w:after="80"/>
      </w:pPr>
      <w:r>
        <w:t>El número de parcela está en blanco en la hoja Docs.</w:t>
      </w:r>
    </w:p>
    <w:p>
      <w:pPr>
        <w:spacing w:after="80"/>
      </w:pPr>
      <w:r>
        <w:t>La descripción legal está en blanco en la hoja Docs.</w:t>
      </w:r>
    </w:p>
    <w:p>
      <w:pPr>
        <w:spacing w:after="80"/>
      </w:pPr>
      <w:r>
        <w:t>La dirección postal del comprador debe confirmarse antes de firmar.</w:t>
      </w:r>
    </w:p>
    <w:p>
      <w:pPr>
        <w:spacing w:after="80"/>
      </w:pPr>
      <w:r>
        <w:t>La redacción de la fecha del fideicomiso debe confirmarse. Este borrador usa los campos separados de fecha y año del fideicomiso como marzo 5, 2025.</w:t>
      </w:r>
    </w:p>
    <w:p>
      <w:pPr>
        <w:spacing w:after="80"/>
      </w:pPr>
      <w:r>
        <w:t>Los títulos de los remolques, estado de gravámenes, aprobaciones del parque/lote, información de rentas de inquilinos, posesión/llaves y aceptación de condición son requeridos antes de tratar el crédito de intercambio como final.</w:t>
      </w:r>
    </w:p>
    <w:p>
      <w:pPr>
        <w:spacing w:after="80"/>
      </w:pPr>
      <w:r>
        <w:t>La revisión del abogado debe confirmar si el pagaré del comprador, el contrato de compraventa con escritura diferida, el memorándum y el anexo de propiedades de intercambio son la estructura final preferida.</w:t>
      </w:r>
    </w:p>
    <w:p>
      <w:pPr>
        <w:pStyle w:val="Heading2"/>
        <w:spacing w:before="160" w:after="60"/>
      </w:pPr>
      <w:r>
        <w:rPr>
          <w:b/>
        </w:rPr>
        <w:t>10. Reconocimiento de revisión</w:t>
      </w:r>
    </w:p>
    <w:p>
      <w:pPr>
        <w:spacing w:after="80"/>
      </w:pPr>
      <w:r>
        <w:t>Las partes pueden usar esta hoja de términos para conversar sobre la estructura propuesta antes de preparar los documentos finales. La firma abajo reconoce recepción para revisión solamente.</w:t>
      </w:r>
    </w:p>
    <w:p>
      <w:pPr>
        <w:spacing w:after="80"/>
      </w:pPr>
      <w:r>
        <w:t>Comprador 1: ________________________________________________  Fecha: ____________________</w:t>
      </w:r>
    </w:p>
    <w:p>
      <w:pPr>
        <w:spacing w:after="80"/>
      </w:pPr>
      <w:r>
        <w:t>Comprador 2: ________________________________________________  Fecha: ____________________</w:t>
      </w:r>
    </w:p>
    <w:p>
      <w:pPr>
        <w:spacing w:after="80"/>
      </w:pPr>
      <w:r>
        <w:t>Vendedor / Fiduciario: ______________________________________  Fecha: 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 xml:space="preserve">Página </w:t>
    </w:r>
    <w:r>
      <w:rPr>
        <w:color w:val="5A5A5A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A5A5A"/>
        <w:sz w:val="18"/>
      </w:rPr>
      <w:t xml:space="preserve"> de </w:t>
    </w:r>
    <w:r>
      <w:rPr>
        <w:color w:val="5A5A5A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color w:val="5A5A5A"/>
        <w:sz w:val="18"/>
      </w:rPr>
      <w:t xml:space="preserve"> | 26-06-25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