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Purchase and Sale Term Sheet with Trade Property Credit</w:t>
      </w:r>
    </w:p>
    <w:p>
      <w:pPr>
        <w:jc w:val="center"/>
      </w:pPr>
      <w:r>
        <w:rPr>
          <w:b/>
        </w:rPr>
        <w:t>Proposed Purchase and Sale Agreement - 4121 Tensity Dr, Raleigh, NC 27604</w:t>
      </w:r>
    </w:p>
    <w:p>
      <w:pPr>
        <w:jc w:val="center"/>
      </w:pPr>
      <w:r>
        <w:t>Prepared: June 26, 2026 | Draft version: 26-06-26 V1</w:t>
      </w:r>
    </w:p>
    <w:tbl>
      <w:tblPr>
        <w:tblStyle w:val="TableGrid"/>
        <w:tblW w:type="auto" w:w="0"/>
        <w:tblLook w:firstColumn="1" w:firstRow="1" w:lastColumn="0" w:lastRow="0" w:noHBand="0" w:noVBand="1" w:val="04A0"/>
      </w:tblPr>
      <w:tblGrid>
        <w:gridCol w:w="10224"/>
      </w:tblGrid>
      <w:tr>
        <w:tc>
          <w:tcPr>
            <w:tcW w:type="dxa" w:w="10224"/>
            <w:shd w:fill="FFF2CC"/>
          </w:tcPr>
          <w:p>
            <w:r>
              <w:rPr>
                <w:i/>
              </w:rPr>
              <w:t>Purpose: This term sheet is a plain-English summary of the proposed purchase-and-sale deal for review and discussion. It is not the final contract and does not transfer title. The final Purchase and Sale Agreement, deed, trade-property addendum, ownership transfer paperwork, buyer qualification review, and attorney review still control. If this summary conflicts with the final signed documents, the final signed documents control.</w:t>
            </w:r>
          </w:p>
        </w:tc>
      </w:tr>
    </w:tbl>
    <w:p>
      <w:pPr>
        <w:pStyle w:val="Heading2"/>
        <w:spacing w:before="160" w:after="60"/>
      </w:pPr>
      <w:r>
        <w:rPr>
          <w:b/>
        </w:rPr>
        <w:t>1. Plain-Language Deal Summary</w:t>
      </w:r>
    </w:p>
    <w:p>
      <w:pPr>
        <w:spacing w:after="80"/>
      </w:pPr>
      <w:r>
        <w:t>Selvin Santos would purchase 4121 Tensity Dr under a proposed Purchase and Sale Agreement for $346,500.00. The proposed deal is made up of $6,000.00 earnest money, $183,900.00 cash due at closing, and $156,600.00 credit for included trade properties.</w:t>
      </w:r>
    </w:p>
    <w:p>
      <w:pPr>
        <w:pStyle w:val="Heading2"/>
        <w:spacing w:before="160" w:after="60"/>
      </w:pPr>
      <w:r>
        <w:rPr>
          <w:b/>
        </w:rPr>
        <w:t>2. Parties and Property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Seller</w:t>
            </w:r>
          </w:p>
        </w:tc>
        <w:tc>
          <w:tcPr>
            <w:tcW w:type="dxa" w:w="7056"/>
            <w:vAlign w:val="top"/>
          </w:tcPr>
          <w:p>
            <w:pPr>
              <w:spacing w:after="0"/>
            </w:pPr>
            <w:r>
              <w:rPr>
                <w:sz w:val="19"/>
              </w:rPr>
              <w:t>Heritage Management LLC</w:t>
            </w:r>
          </w:p>
        </w:tc>
      </w:tr>
      <w:tr>
        <w:tc>
          <w:tcPr>
            <w:tcW w:type="dxa" w:w="3240"/>
            <w:vAlign w:val="top"/>
          </w:tcPr>
          <w:p>
            <w:pPr>
              <w:spacing w:after="0"/>
            </w:pPr>
            <w:r>
              <w:rPr>
                <w:b/>
                <w:sz w:val="19"/>
              </w:rPr>
              <w:t>Seller signature structure for final documents</w:t>
            </w:r>
          </w:p>
        </w:tc>
        <w:tc>
          <w:tcPr>
            <w:tcW w:type="dxa" w:w="7056"/>
            <w:vAlign w:val="top"/>
          </w:tcPr>
          <w:p>
            <w:pPr>
              <w:spacing w:after="0"/>
            </w:pPr>
            <w:r>
              <w:rPr>
                <w:sz w:val="19"/>
              </w:rPr>
              <w:t>4121 Tensity Dr Real Estate Trust dated March 5, 2025, by and through Investment Services LLC, Trustee; Manager: Wes Browning</w:t>
            </w:r>
          </w:p>
        </w:tc>
      </w:tr>
      <w:tr>
        <w:tc>
          <w:tcPr>
            <w:tcW w:type="dxa" w:w="3240"/>
            <w:vAlign w:val="top"/>
          </w:tcPr>
          <w:p>
            <w:pPr>
              <w:spacing w:after="0"/>
            </w:pPr>
            <w:r>
              <w:rPr>
                <w:b/>
                <w:sz w:val="19"/>
              </w:rPr>
              <w:t>Trustee mailing address</w:t>
            </w:r>
          </w:p>
        </w:tc>
        <w:tc>
          <w:tcPr>
            <w:tcW w:type="dxa" w:w="7056"/>
            <w:vAlign w:val="top"/>
          </w:tcPr>
          <w:p>
            <w:pPr>
              <w:spacing w:after="0"/>
            </w:pPr>
            <w:r>
              <w:rPr>
                <w:sz w:val="19"/>
              </w:rPr>
              <w:t>1309 Coffeen Avenue, STE 1200, Sheridan, Wyoming 82801</w:t>
            </w:r>
          </w:p>
        </w:tc>
      </w:tr>
      <w:tr>
        <w:tc>
          <w:tcPr>
            <w:tcW w:type="dxa" w:w="3240"/>
            <w:vAlign w:val="top"/>
          </w:tcPr>
          <w:p>
            <w:pPr>
              <w:spacing w:after="0"/>
            </w:pPr>
            <w:r>
              <w:rPr>
                <w:b/>
                <w:sz w:val="19"/>
              </w:rPr>
              <w:t>Buyer</w:t>
            </w:r>
          </w:p>
        </w:tc>
        <w:tc>
          <w:tcPr>
            <w:tcW w:type="dxa" w:w="7056"/>
            <w:vAlign w:val="top"/>
          </w:tcPr>
          <w:p>
            <w:pPr>
              <w:spacing w:after="0"/>
            </w:pPr>
            <w:r>
              <w:rPr>
                <w:sz w:val="19"/>
              </w:rPr>
              <w:t>Selvin Santos</w:t>
            </w:r>
          </w:p>
        </w:tc>
      </w:tr>
      <w:tr>
        <w:tc>
          <w:tcPr>
            <w:tcW w:type="dxa" w:w="3240"/>
            <w:vAlign w:val="top"/>
          </w:tcPr>
          <w:p>
            <w:pPr>
              <w:spacing w:after="0"/>
            </w:pPr>
            <w:r>
              <w:rPr>
                <w:b/>
                <w:sz w:val="19"/>
              </w:rPr>
              <w:t>Buyer mailing address</w:t>
            </w:r>
          </w:p>
        </w:tc>
        <w:tc>
          <w:tcPr>
            <w:tcW w:type="dxa" w:w="7056"/>
            <w:vAlign w:val="top"/>
          </w:tcPr>
          <w:p>
            <w:pPr>
              <w:spacing w:after="0"/>
            </w:pPr>
            <w:r>
              <w:rPr>
                <w:sz w:val="19"/>
              </w:rPr>
              <w:t>5021 Sunnyfield Dr, Unit 164, Raleigh, NC 27604</w:t>
            </w:r>
          </w:p>
        </w:tc>
      </w:tr>
      <w:tr>
        <w:tc>
          <w:tcPr>
            <w:tcW w:type="dxa" w:w="3240"/>
            <w:vAlign w:val="top"/>
          </w:tcPr>
          <w:p>
            <w:pPr>
              <w:spacing w:after="0"/>
            </w:pPr>
            <w:r>
              <w:rPr>
                <w:b/>
                <w:sz w:val="19"/>
              </w:rPr>
              <w:t>Property</w:t>
            </w:r>
          </w:p>
        </w:tc>
        <w:tc>
          <w:tcPr>
            <w:tcW w:type="dxa" w:w="7056"/>
            <w:vAlign w:val="top"/>
          </w:tcPr>
          <w:p>
            <w:pPr>
              <w:spacing w:after="0"/>
            </w:pPr>
            <w:r>
              <w:rPr>
                <w:sz w:val="19"/>
              </w:rPr>
              <w:t>4121 Tensity Dr, Raleigh, NC 27604</w:t>
            </w:r>
          </w:p>
        </w:tc>
      </w:tr>
      <w:tr>
        <w:tc>
          <w:tcPr>
            <w:tcW w:type="dxa" w:w="3240"/>
            <w:vAlign w:val="top"/>
          </w:tcPr>
          <w:p>
            <w:pPr>
              <w:spacing w:after="0"/>
            </w:pPr>
            <w:r>
              <w:rPr>
                <w:b/>
                <w:sz w:val="19"/>
              </w:rPr>
              <w:t>County</w:t>
            </w:r>
          </w:p>
        </w:tc>
        <w:tc>
          <w:tcPr>
            <w:tcW w:type="dxa" w:w="7056"/>
            <w:vAlign w:val="top"/>
          </w:tcPr>
          <w:p>
            <w:pPr>
              <w:spacing w:after="0"/>
            </w:pPr>
            <w:r>
              <w:rPr>
                <w:sz w:val="19"/>
              </w:rPr>
              <w:t>Wake</w:t>
            </w:r>
          </w:p>
        </w:tc>
      </w:tr>
      <w:tr>
        <w:tc>
          <w:tcPr>
            <w:tcW w:type="dxa" w:w="3240"/>
            <w:vAlign w:val="top"/>
          </w:tcPr>
          <w:p>
            <w:pPr>
              <w:spacing w:after="0"/>
            </w:pPr>
            <w:r>
              <w:rPr>
                <w:b/>
                <w:sz w:val="19"/>
              </w:rPr>
              <w:t>Parcel ID</w:t>
            </w:r>
          </w:p>
        </w:tc>
        <w:tc>
          <w:tcPr>
            <w:tcW w:type="dxa" w:w="7056"/>
            <w:vAlign w:val="top"/>
          </w:tcPr>
          <w:p>
            <w:pPr>
              <w:spacing w:after="0"/>
            </w:pPr>
            <w:r>
              <w:rPr>
                <w:sz w:val="19"/>
              </w:rPr>
              <w:t>[not listed]</w:t>
            </w:r>
          </w:p>
        </w:tc>
      </w:tr>
      <w:tr>
        <w:tc>
          <w:tcPr>
            <w:tcW w:type="dxa" w:w="3240"/>
            <w:vAlign w:val="top"/>
          </w:tcPr>
          <w:p>
            <w:pPr>
              <w:spacing w:after="0"/>
            </w:pPr>
            <w:r>
              <w:rPr>
                <w:b/>
                <w:sz w:val="19"/>
              </w:rPr>
              <w:t>Legal description summary</w:t>
            </w:r>
          </w:p>
        </w:tc>
        <w:tc>
          <w:tcPr>
            <w:tcW w:type="dxa" w:w="7056"/>
            <w:vAlign w:val="top"/>
          </w:tcPr>
          <w:p>
            <w:pPr>
              <w:spacing w:after="0"/>
            </w:pPr>
            <w:r>
              <w:rPr>
                <w:sz w:val="19"/>
              </w:rPr>
              <w:t>[not listed]</w:t>
            </w:r>
          </w:p>
        </w:tc>
      </w:tr>
    </w:tbl>
    <w:p>
      <w:pPr>
        <w:pStyle w:val="Heading2"/>
        <w:spacing w:before="160" w:after="60"/>
      </w:pPr>
      <w:r>
        <w:rPr>
          <w:b/>
        </w:rPr>
        <w:t>3. Proposed Purchase Structure</w:t>
      </w:r>
    </w:p>
    <w:p>
      <w:pPr>
        <w:spacing w:after="80"/>
      </w:pPr>
      <w:r>
        <w:t>The proposed Purchase and Sale Agreement separates the earnest money, cash due at closing, and credit for included trade properties so each part can be shown clearly in the final documents.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Proposed purchase price</w:t>
            </w:r>
          </w:p>
        </w:tc>
        <w:tc>
          <w:tcPr>
            <w:tcW w:type="dxa" w:w="7056"/>
            <w:vAlign w:val="top"/>
          </w:tcPr>
          <w:p>
            <w:pPr>
              <w:spacing w:after="0"/>
            </w:pPr>
            <w:r>
              <w:rPr>
                <w:sz w:val="19"/>
              </w:rPr>
              <w:t>$346,500.00</w:t>
            </w:r>
          </w:p>
        </w:tc>
      </w:tr>
      <w:tr>
        <w:tc>
          <w:tcPr>
            <w:tcW w:type="dxa" w:w="3240"/>
            <w:vAlign w:val="top"/>
          </w:tcPr>
          <w:p>
            <w:pPr>
              <w:spacing w:after="0"/>
            </w:pPr>
            <w:r>
              <w:rPr>
                <w:b/>
                <w:sz w:val="19"/>
              </w:rPr>
              <w:t>Earnest money at signing</w:t>
            </w:r>
          </w:p>
        </w:tc>
        <w:tc>
          <w:tcPr>
            <w:tcW w:type="dxa" w:w="7056"/>
            <w:vAlign w:val="top"/>
          </w:tcPr>
          <w:p>
            <w:pPr>
              <w:spacing w:after="0"/>
            </w:pPr>
            <w:r>
              <w:rPr>
                <w:sz w:val="19"/>
              </w:rPr>
              <w:t>$6,000.00</w:t>
            </w:r>
          </w:p>
        </w:tc>
      </w:tr>
      <w:tr>
        <w:tc>
          <w:tcPr>
            <w:tcW w:type="dxa" w:w="3240"/>
            <w:vAlign w:val="top"/>
          </w:tcPr>
          <w:p>
            <w:pPr>
              <w:spacing w:after="0"/>
            </w:pPr>
            <w:r>
              <w:rPr>
                <w:b/>
                <w:sz w:val="19"/>
              </w:rPr>
              <w:t>Cash due at closing</w:t>
            </w:r>
          </w:p>
        </w:tc>
        <w:tc>
          <w:tcPr>
            <w:tcW w:type="dxa" w:w="7056"/>
            <w:vAlign w:val="top"/>
          </w:tcPr>
          <w:p>
            <w:pPr>
              <w:spacing w:after="0"/>
            </w:pPr>
            <w:r>
              <w:rPr>
                <w:sz w:val="19"/>
              </w:rPr>
              <w:t>$183,900.00</w:t>
            </w:r>
          </w:p>
        </w:tc>
      </w:tr>
      <w:tr>
        <w:tc>
          <w:tcPr>
            <w:tcW w:type="dxa" w:w="3240"/>
            <w:vAlign w:val="top"/>
          </w:tcPr>
          <w:p>
            <w:pPr>
              <w:spacing w:after="0"/>
            </w:pPr>
            <w:r>
              <w:rPr>
                <w:b/>
                <w:sz w:val="19"/>
              </w:rPr>
              <w:t>Credit for included trade properties</w:t>
            </w:r>
          </w:p>
        </w:tc>
        <w:tc>
          <w:tcPr>
            <w:tcW w:type="dxa" w:w="7056"/>
            <w:vAlign w:val="top"/>
          </w:tcPr>
          <w:p>
            <w:pPr>
              <w:spacing w:after="0"/>
            </w:pPr>
            <w:r>
              <w:rPr>
                <w:sz w:val="19"/>
              </w:rPr>
              <w:t>$156,600.00</w:t>
            </w:r>
          </w:p>
        </w:tc>
      </w:tr>
      <w:tr>
        <w:tc>
          <w:tcPr>
            <w:tcW w:type="dxa" w:w="3240"/>
            <w:vAlign w:val="top"/>
          </w:tcPr>
          <w:p>
            <w:pPr>
              <w:spacing w:after="0"/>
            </w:pPr>
            <w:r>
              <w:rPr>
                <w:b/>
                <w:sz w:val="19"/>
              </w:rPr>
              <w:t>Total cash and credits</w:t>
            </w:r>
          </w:p>
        </w:tc>
        <w:tc>
          <w:tcPr>
            <w:tcW w:type="dxa" w:w="7056"/>
            <w:vAlign w:val="top"/>
          </w:tcPr>
          <w:p>
            <w:pPr>
              <w:spacing w:after="0"/>
            </w:pPr>
            <w:r>
              <w:rPr>
                <w:sz w:val="19"/>
              </w:rPr>
              <w:t>$346,500.00</w:t>
            </w:r>
          </w:p>
        </w:tc>
      </w:tr>
      <w:tr>
        <w:tc>
          <w:tcPr>
            <w:tcW w:type="dxa" w:w="3240"/>
            <w:vAlign w:val="top"/>
          </w:tcPr>
          <w:p>
            <w:pPr>
              <w:spacing w:after="0"/>
            </w:pPr>
            <w:r>
              <w:rPr>
                <w:b/>
                <w:sz w:val="19"/>
              </w:rPr>
              <w:t>How the purchase price is made up</w:t>
            </w:r>
          </w:p>
        </w:tc>
        <w:tc>
          <w:tcPr>
            <w:tcW w:type="dxa" w:w="7056"/>
            <w:vAlign w:val="top"/>
          </w:tcPr>
          <w:p>
            <w:pPr>
              <w:spacing w:after="0"/>
            </w:pPr>
            <w:r>
              <w:rPr>
                <w:sz w:val="19"/>
              </w:rPr>
              <w:t>$6,000.00 earnest money + $183,900.00 cash due at closing + $156,600.00 trade-property credit = $346,500.00 proposed purchase price</w:t>
            </w:r>
          </w:p>
        </w:tc>
      </w:tr>
    </w:tbl>
    <w:p>
      <w:pPr>
        <w:pStyle w:val="Heading2"/>
        <w:spacing w:before="160" w:after="60"/>
      </w:pPr>
      <w:r>
        <w:rPr>
          <w:b/>
        </w:rPr>
        <w:t>4. Trade Properties Included as Equity Credit</w:t>
      </w:r>
    </w:p>
    <w:p>
      <w:pPr>
        <w:spacing w:after="80"/>
      </w:pPr>
      <w:r>
        <w:t>The buyer is expected to transfer title, ownership rights, or other required ownership documents for the included trade properties below as part of the deal. The credit is not final until the required paperwork, approvals, possession items, and other closing conditions are completed and accepted.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024"/>
            <w:shd w:fill="D9EAF7"/>
            <w:vAlign w:val="center"/>
            <w:noWrap/>
          </w:tcPr>
          <w:p>
            <w:pPr>
              <w:jc w:val="center"/>
            </w:pPr>
            <w:r>
              <w:rPr>
                <w:b/>
              </w:rPr>
              <w:t>Property</w:t>
            </w:r>
          </w:p>
        </w:tc>
        <w:tc>
          <w:tcPr>
            <w:tcW w:type="dxa" w:w="1440"/>
            <w:shd w:fill="D9EAF7"/>
            <w:vAlign w:val="center"/>
            <w:noWrap/>
          </w:tcPr>
          <w:p>
            <w:pPr>
              <w:jc w:val="center"/>
            </w:pPr>
            <w:r>
              <w:rPr>
                <w:b/>
              </w:rPr>
              <w:t>Type</w:t>
            </w:r>
          </w:p>
        </w:tc>
        <w:tc>
          <w:tcPr>
            <w:tcW w:type="dxa" w:w="1512"/>
            <w:shd w:fill="D9EAF7"/>
            <w:vAlign w:val="center"/>
            <w:noWrap/>
          </w:tcPr>
          <w:p>
            <w:pPr>
              <w:jc w:val="center"/>
            </w:pPr>
            <w:r>
              <w:rPr>
                <w:b/>
              </w:rPr>
              <w:t>Credit</w:t>
            </w:r>
          </w:p>
        </w:tc>
        <w:tc>
          <w:tcPr>
            <w:tcW w:type="dxa" w:w="4320"/>
            <w:shd w:fill="D9EAF7"/>
            <w:vAlign w:val="center"/>
            <w:noWrap/>
          </w:tcPr>
          <w:p>
            <w:pPr>
              <w:jc w:val="center"/>
            </w:pPr>
            <w:r>
              <w:rPr>
                <w:b/>
              </w:rPr>
              <w:t>What still has to happen</w:t>
            </w:r>
          </w:p>
        </w:tc>
      </w:tr>
      <w:tr>
        <w:tc>
          <w:tcPr>
            <w:tcW w:type="dxa" w:w="3024"/>
            <w:vAlign w:val="top"/>
            <w:noWrap/>
          </w:tcPr>
          <w:p>
            <w:pPr>
              <w:spacing w:after="0"/>
            </w:pPr>
            <w:r>
              <w:rPr>
                <w:b/>
                <w:sz w:val="17"/>
              </w:rPr>
              <w:t>5009 Sunnyfield Dr</w:t>
            </w:r>
          </w:p>
        </w:tc>
        <w:tc>
          <w:tcPr>
            <w:tcW w:type="dxa" w:w="1440"/>
            <w:vAlign w:val="top"/>
            <w:noWrap/>
          </w:tcPr>
          <w:p>
            <w:pPr>
              <w:spacing w:after="0"/>
            </w:pPr>
            <w:r>
              <w:rPr>
                <w:sz w:val="17"/>
              </w:rPr>
              <w:t>Single wide</w:t>
            </w:r>
          </w:p>
        </w:tc>
        <w:tc>
          <w:tcPr>
            <w:tcW w:type="dxa" w:w="1512"/>
            <w:vAlign w:val="top"/>
            <w:noWrap/>
          </w:tcPr>
          <w:p>
            <w:pPr>
              <w:spacing w:after="0"/>
            </w:pPr>
            <w:r>
              <w:rPr>
                <w:sz w:val="17"/>
              </w:rPr>
              <w:t>$63,000.00</w:t>
            </w:r>
          </w:p>
        </w:tc>
        <w:tc>
          <w:tcPr>
            <w:tcW w:type="dxa" w:w="4320"/>
            <w:vAlign w:val="top"/>
            <w:noWrap/>
          </w:tcPr>
          <w:p>
            <w:pPr>
              <w:spacing w:after="0"/>
            </w:pPr>
            <w:r>
              <w:rPr>
                <w:sz w:val="17"/>
              </w:rPr>
              <w:t>Required before final credit is counted</w:t>
            </w:r>
          </w:p>
        </w:tc>
      </w:tr>
      <w:tr>
        <w:tc>
          <w:tcPr>
            <w:tcW w:type="dxa" w:w="3024"/>
            <w:vAlign w:val="top"/>
            <w:noWrap/>
          </w:tcPr>
          <w:p>
            <w:pPr>
              <w:spacing w:after="0"/>
            </w:pPr>
            <w:r>
              <w:rPr>
                <w:b/>
                <w:sz w:val="17"/>
              </w:rPr>
              <w:t>5021 Sunnyfield Dr</w:t>
            </w:r>
          </w:p>
        </w:tc>
        <w:tc>
          <w:tcPr>
            <w:tcW w:type="dxa" w:w="1440"/>
            <w:vAlign w:val="top"/>
            <w:noWrap/>
          </w:tcPr>
          <w:p>
            <w:pPr>
              <w:spacing w:after="0"/>
            </w:pPr>
            <w:r>
              <w:rPr>
                <w:sz w:val="17"/>
              </w:rPr>
              <w:t>Double wide</w:t>
            </w:r>
          </w:p>
        </w:tc>
        <w:tc>
          <w:tcPr>
            <w:tcW w:type="dxa" w:w="1512"/>
            <w:vAlign w:val="top"/>
            <w:noWrap/>
          </w:tcPr>
          <w:p>
            <w:pPr>
              <w:spacing w:after="0"/>
            </w:pPr>
            <w:r>
              <w:rPr>
                <w:sz w:val="17"/>
              </w:rPr>
              <w:t>$93,600.00</w:t>
            </w:r>
          </w:p>
        </w:tc>
        <w:tc>
          <w:tcPr>
            <w:tcW w:type="dxa" w:w="4320"/>
            <w:vAlign w:val="top"/>
            <w:noWrap/>
          </w:tcPr>
          <w:p>
            <w:pPr>
              <w:spacing w:after="0"/>
            </w:pPr>
            <w:r>
              <w:rPr>
                <w:sz w:val="17"/>
              </w:rPr>
              <w:t>Required before final credit is counted</w:t>
            </w:r>
          </w:p>
        </w:tc>
      </w:tr>
      <w:tr>
        <w:tc>
          <w:tcPr>
            <w:tcW w:type="dxa" w:w="3024"/>
            <w:vAlign w:val="top"/>
            <w:noWrap/>
          </w:tcPr>
          <w:p>
            <w:pPr>
              <w:spacing w:after="0"/>
            </w:pPr>
            <w:r>
              <w:rPr>
                <w:b/>
                <w:sz w:val="17"/>
              </w:rPr>
              <w:t>Total credit</w:t>
            </w:r>
          </w:p>
        </w:tc>
        <w:tc>
          <w:tcPr>
            <w:tcW w:type="dxa" w:w="1440"/>
            <w:vAlign w:val="top"/>
            <w:noWrap/>
          </w:tcPr>
          <w:p>
            <w:pPr>
              <w:spacing w:after="0"/>
            </w:pPr>
            <w:r>
              <w:rPr>
                <w:b/>
                <w:sz w:val="17"/>
              </w:rPr>
            </w:r>
          </w:p>
        </w:tc>
        <w:tc>
          <w:tcPr>
            <w:tcW w:type="dxa" w:w="1512"/>
            <w:vAlign w:val="top"/>
            <w:noWrap/>
          </w:tcPr>
          <w:p>
            <w:pPr>
              <w:spacing w:after="0"/>
            </w:pPr>
            <w:r>
              <w:rPr>
                <w:b/>
                <w:sz w:val="17"/>
              </w:rPr>
              <w:t>$156,600.00</w:t>
            </w:r>
          </w:p>
        </w:tc>
        <w:tc>
          <w:tcPr>
            <w:tcW w:type="dxa" w:w="4320"/>
            <w:vAlign w:val="top"/>
            <w:noWrap/>
          </w:tcPr>
          <w:p>
            <w:pPr>
              <w:spacing w:after="0"/>
            </w:pPr>
            <w:r>
              <w:rPr>
                <w:b/>
                <w:sz w:val="17"/>
              </w:rPr>
              <w:t>Subject to trade-property addendum</w:t>
            </w:r>
          </w:p>
        </w:tc>
      </w:tr>
    </w:tbl>
    <w:p>
      <w:pPr>
        <w:pStyle w:val="Heading2"/>
        <w:spacing w:before="160" w:after="60"/>
      </w:pPr>
      <w:r>
        <w:rPr>
          <w:b/>
        </w:rPr>
        <w:t>5. What Must Happen for the Trade Credit to Count</w:t>
      </w:r>
    </w:p>
    <w:p>
      <w:pPr>
        <w:spacing w:after="80"/>
      </w:pPr>
      <w:r>
        <w:t>The trade credit is conditional. Before it counts as final, the buyer must deliver acceptable ownership documents, lien releases or payoff proof, possession/keys, tenant and rent information where applicable, and required third-party approvals.</w:t>
      </w:r>
    </w:p>
    <w:p>
      <w:pPr>
        <w:spacing w:after="80"/>
      </w:pPr>
      <w:r>
        <w:t>The final trade-property addendum should spell out ownership transfer, possession, approvals, liens, tenant rents, verification, condition, and remedies.</w:t>
      </w:r>
    </w:p>
    <w:p>
      <w:pPr>
        <w:spacing w:after="80"/>
      </w:pPr>
      <w:r>
        <w:t>If a required item is not delivered and accepted, the final documents should say whether the missing credit becomes additional cash due, a purchase-price adjustment, a closing-condition issue, or another agreed remedy. The proposed values are working numbers until accepted.</w:t>
      </w:r>
    </w:p>
    <w:p>
      <w:pPr>
        <w:pStyle w:val="Heading2"/>
        <w:spacing w:before="160" w:after="60"/>
      </w:pPr>
      <w:r>
        <w:rPr>
          <w:b/>
        </w:rPr>
        <w:t>6. Documents Expected Later</w:t>
      </w:r>
    </w:p>
    <w:p>
      <w:pPr>
        <w:spacing w:after="80"/>
      </w:pPr>
      <w:r>
        <w:t>Purchase and Sale Agreement for 4121 Tensity Dr.</w:t>
      </w:r>
    </w:p>
    <w:p>
      <w:pPr>
        <w:spacing w:after="80"/>
      </w:pPr>
      <w:r>
        <w:t>Deed from seller to buyer to be delivered at closing, subject to attorney-approved final documents.</w:t>
      </w:r>
    </w:p>
    <w:p>
      <w:pPr>
        <w:spacing w:after="80"/>
      </w:pPr>
      <w:r>
        <w:t>Trade-property addendum or exhibit for included trade properties.</w:t>
      </w:r>
    </w:p>
    <w:p>
      <w:pPr>
        <w:spacing w:after="80"/>
      </w:pPr>
      <w:r>
        <w:t>Ownership/title transfer documents for the trade properties, including any required title, bill of sale, deed, assignment, park approval, or similar transfer document based on property type.</w:t>
      </w:r>
    </w:p>
    <w:p>
      <w:pPr>
        <w:spacing w:after="80"/>
      </w:pPr>
      <w:r>
        <w:t>Lien releases, payoff confirmations, or other proof that trade-property liens and adverse interests are resolved as required by the final agreement.</w:t>
      </w:r>
    </w:p>
    <w:p>
      <w:pPr>
        <w:spacing w:after="80"/>
      </w:pPr>
      <w:r>
        <w:t>Buyer and seller closing statement showing cash due, accepted trade-property credit, prorations, and other closing adjustments.</w:t>
      </w:r>
    </w:p>
    <w:p>
      <w:pPr>
        <w:spacing w:after="80"/>
      </w:pPr>
      <w:r>
        <w:t>Any attorney-required disclosures, acknowledgments, or closing affidavits.</w:t>
      </w:r>
    </w:p>
    <w:p>
      <w:pPr>
        <w:pStyle w:val="Heading2"/>
        <w:spacing w:before="160" w:after="60"/>
      </w:pPr>
      <w:r>
        <w:rPr>
          <w:b/>
        </w:rPr>
        <w:t>7. Confirmation Status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D9EAF7"/>
            <w:vAlign w:val="center"/>
          </w:tcPr>
          <w:p>
            <w:pPr>
              <w:jc w:val="center"/>
            </w:pPr>
            <w:r>
              <w:rPr>
                <w:b/>
              </w:rPr>
              <w:t>Status</w:t>
            </w:r>
          </w:p>
        </w:tc>
        <w:tc>
          <w:tcPr>
            <w:tcW w:type="dxa" w:w="2808"/>
            <w:shd w:fill="D9EAF7"/>
            <w:vAlign w:val="center"/>
          </w:tcPr>
          <w:p>
            <w:pPr>
              <w:jc w:val="center"/>
            </w:pPr>
            <w:r>
              <w:rPr>
                <w:b/>
              </w:rPr>
              <w:t>Item</w:t>
            </w:r>
          </w:p>
        </w:tc>
        <w:tc>
          <w:tcPr>
            <w:tcW w:type="dxa" w:w="5688"/>
            <w:shd w:fill="D9EAF7"/>
            <w:vAlign w:val="center"/>
          </w:tcPr>
          <w:p>
            <w:pPr>
              <w:jc w:val="center"/>
            </w:pPr>
            <w:r>
              <w:rPr>
                <w:b/>
              </w:rPr>
              <w:t>Notes</w:t>
            </w:r>
          </w:p>
        </w:tc>
      </w:tr>
      <w:tr>
        <w:tc>
          <w:tcPr>
            <w:tcW w:type="dxa" w:w="1800"/>
            <w:vAlign w:val="top"/>
          </w:tcPr>
          <w:p>
            <w:pPr>
              <w:spacing w:after="0"/>
            </w:pPr>
            <w:r>
              <w:rPr>
                <w:b/>
                <w:sz w:val="17"/>
              </w:rPr>
              <w:t>Needs attention</w:t>
            </w:r>
          </w:p>
        </w:tc>
        <w:tc>
          <w:tcPr>
            <w:tcW w:type="dxa" w:w="2808"/>
            <w:vAlign w:val="top"/>
          </w:tcPr>
          <w:p>
            <w:pPr>
              <w:spacing w:after="0"/>
            </w:pPr>
            <w:r>
              <w:rPr>
                <w:sz w:val="17"/>
              </w:rPr>
              <w:t>Parcel ID</w:t>
            </w:r>
          </w:p>
        </w:tc>
        <w:tc>
          <w:tcPr>
            <w:tcW w:type="dxa" w:w="5688"/>
            <w:vAlign w:val="top"/>
          </w:tcPr>
          <w:p>
            <w:pPr>
              <w:spacing w:after="0"/>
            </w:pPr>
            <w:r>
              <w:rPr>
                <w:sz w:val="17"/>
              </w:rPr>
              <w:t>Parcel ID is not filled in yet.</w:t>
            </w:r>
          </w:p>
        </w:tc>
      </w:tr>
      <w:tr>
        <w:tc>
          <w:tcPr>
            <w:tcW w:type="dxa" w:w="1800"/>
            <w:vAlign w:val="top"/>
          </w:tcPr>
          <w:p>
            <w:pPr>
              <w:spacing w:after="0"/>
            </w:pPr>
            <w:r>
              <w:rPr>
                <w:b/>
                <w:sz w:val="17"/>
              </w:rPr>
              <w:t>Needs attention</w:t>
            </w:r>
          </w:p>
        </w:tc>
        <w:tc>
          <w:tcPr>
            <w:tcW w:type="dxa" w:w="2808"/>
            <w:vAlign w:val="top"/>
          </w:tcPr>
          <w:p>
            <w:pPr>
              <w:spacing w:after="0"/>
            </w:pPr>
            <w:r>
              <w:rPr>
                <w:sz w:val="17"/>
              </w:rPr>
              <w:t>Legal description</w:t>
            </w:r>
          </w:p>
        </w:tc>
        <w:tc>
          <w:tcPr>
            <w:tcW w:type="dxa" w:w="5688"/>
            <w:vAlign w:val="top"/>
          </w:tcPr>
          <w:p>
            <w:pPr>
              <w:spacing w:after="0"/>
            </w:pPr>
            <w:r>
              <w:rPr>
                <w:sz w:val="17"/>
              </w:rPr>
              <w:t>Legal description is not filled in yet.</w:t>
            </w:r>
          </w:p>
        </w:tc>
      </w:tr>
      <w:tr>
        <w:tc>
          <w:tcPr>
            <w:tcW w:type="dxa" w:w="1800"/>
            <w:vAlign w:val="top"/>
          </w:tcPr>
          <w:p>
            <w:pPr>
              <w:spacing w:after="0"/>
            </w:pPr>
            <w:r>
              <w:rPr>
                <w:b/>
                <w:sz w:val="17"/>
              </w:rPr>
              <w:t>Resolved</w:t>
            </w:r>
          </w:p>
        </w:tc>
        <w:tc>
          <w:tcPr>
            <w:tcW w:type="dxa" w:w="2808"/>
            <w:vAlign w:val="top"/>
          </w:tcPr>
          <w:p>
            <w:pPr>
              <w:spacing w:after="0"/>
            </w:pPr>
            <w:r>
              <w:rPr>
                <w:sz w:val="17"/>
              </w:rPr>
              <w:t>Buyer mailing address</w:t>
            </w:r>
          </w:p>
        </w:tc>
        <w:tc>
          <w:tcPr>
            <w:tcW w:type="dxa" w:w="5688"/>
            <w:vAlign w:val="top"/>
          </w:tcPr>
          <w:p>
            <w:pPr>
              <w:spacing w:after="0"/>
            </w:pPr>
            <w:r>
              <w:rPr>
                <w:sz w:val="17"/>
              </w:rPr>
              <w:t>Listed as 5021 Sunnyfield Dr, Unit 164, Raleigh, NC 27604.</w:t>
            </w:r>
          </w:p>
        </w:tc>
      </w:tr>
      <w:tr>
        <w:tc>
          <w:tcPr>
            <w:tcW w:type="dxa" w:w="1800"/>
            <w:vAlign w:val="top"/>
          </w:tcPr>
          <w:p>
            <w:pPr>
              <w:spacing w:after="0"/>
            </w:pPr>
            <w:r>
              <w:rPr>
                <w:b/>
                <w:sz w:val="17"/>
              </w:rPr>
              <w:t>Resolved</w:t>
            </w:r>
          </w:p>
        </w:tc>
        <w:tc>
          <w:tcPr>
            <w:tcW w:type="dxa" w:w="2808"/>
            <w:vAlign w:val="top"/>
          </w:tcPr>
          <w:p>
            <w:pPr>
              <w:spacing w:after="0"/>
            </w:pPr>
            <w:r>
              <w:rPr>
                <w:sz w:val="17"/>
              </w:rPr>
              <w:t>Trust date wording</w:t>
            </w:r>
          </w:p>
        </w:tc>
        <w:tc>
          <w:tcPr>
            <w:tcW w:type="dxa" w:w="5688"/>
            <w:vAlign w:val="top"/>
          </w:tcPr>
          <w:p>
            <w:pPr>
              <w:spacing w:after="0"/>
            </w:pPr>
            <w:r>
              <w:rPr>
                <w:sz w:val="17"/>
              </w:rPr>
              <w:t>Resolves as: 4121 Tensity Dr Real Estate Trust dated March 5, 2025, by and through Investment Services LLC, Trustee; Manager: Wes Browning.</w:t>
            </w:r>
          </w:p>
        </w:tc>
      </w:tr>
      <w:tr>
        <w:tc>
          <w:tcPr>
            <w:tcW w:type="dxa" w:w="1800"/>
            <w:vAlign w:val="top"/>
          </w:tcPr>
          <w:p>
            <w:pPr>
              <w:spacing w:after="0"/>
            </w:pPr>
            <w:r>
              <w:rPr>
                <w:b/>
                <w:sz w:val="17"/>
              </w:rPr>
              <w:t>Needs attention</w:t>
            </w:r>
          </w:p>
        </w:tc>
        <w:tc>
          <w:tcPr>
            <w:tcW w:type="dxa" w:w="2808"/>
            <w:vAlign w:val="top"/>
          </w:tcPr>
          <w:p>
            <w:pPr>
              <w:spacing w:after="0"/>
            </w:pPr>
            <w:r>
              <w:rPr>
                <w:sz w:val="17"/>
              </w:rPr>
              <w:t>Trade-property conditions</w:t>
            </w:r>
          </w:p>
        </w:tc>
        <w:tc>
          <w:tcPr>
            <w:tcW w:type="dxa" w:w="5688"/>
            <w:vAlign w:val="top"/>
          </w:tcPr>
          <w:p>
            <w:pPr>
              <w:spacing w:after="0"/>
            </w:pPr>
            <w:r>
              <w:rPr>
                <w:sz w:val="17"/>
              </w:rPr>
              <w:t>Ownership documents, lien status, required third-party approvals, tenant/rent information where applicable, possession/keys, and condition acceptance are required before trade credit should be treated as final.</w:t>
            </w:r>
          </w:p>
        </w:tc>
      </w:tr>
      <w:tr>
        <w:tc>
          <w:tcPr>
            <w:tcW w:type="dxa" w:w="1800"/>
            <w:vAlign w:val="top"/>
          </w:tcPr>
          <w:p>
            <w:pPr>
              <w:spacing w:after="0"/>
            </w:pPr>
            <w:r>
              <w:rPr>
                <w:b/>
                <w:sz w:val="17"/>
              </w:rPr>
              <w:t>Needs attention</w:t>
            </w:r>
          </w:p>
        </w:tc>
        <w:tc>
          <w:tcPr>
            <w:tcW w:type="dxa" w:w="2808"/>
            <w:vAlign w:val="top"/>
          </w:tcPr>
          <w:p>
            <w:pPr>
              <w:spacing w:after="0"/>
            </w:pPr>
            <w:r>
              <w:rPr>
                <w:sz w:val="17"/>
              </w:rPr>
              <w:t>Attorney review</w:t>
            </w:r>
          </w:p>
        </w:tc>
        <w:tc>
          <w:tcPr>
            <w:tcW w:type="dxa" w:w="5688"/>
            <w:vAlign w:val="top"/>
          </w:tcPr>
          <w:p>
            <w:pPr>
              <w:spacing w:after="0"/>
            </w:pPr>
            <w:r>
              <w:rPr>
                <w:sz w:val="17"/>
              </w:rPr>
              <w:t>Attorney review should confirm whether the purchase-and-sale structure, deed, and trade-property addendum are the preferred final structure.</w:t>
            </w:r>
          </w:p>
        </w:tc>
      </w:tr>
    </w:tbl>
    <w:p>
      <w:pPr>
        <w:pStyle w:val="Heading2"/>
        <w:spacing w:before="160" w:after="60"/>
      </w:pPr>
      <w:r>
        <w:rPr>
          <w:b/>
        </w:rPr>
        <w:t>8. Review Acknowledgment</w:t>
      </w:r>
    </w:p>
    <w:p>
      <w:pPr>
        <w:spacing w:after="80"/>
      </w:pPr>
      <w:r>
        <w:t>The parties may use this term sheet to discuss the proposed deal before final contract documents are prepared. A signature below means only that the person received it for review.</w:t>
      </w:r>
    </w:p>
    <w:p>
      <w:pPr>
        <w:spacing w:after="80"/>
      </w:pPr>
      <w:r>
        <w:t>Buyer 1: _____________________________________________________  Date: ____________________</w:t>
      </w:r>
    </w:p>
    <w:p>
      <w:pPr>
        <w:spacing w:after="80"/>
      </w:pPr>
      <w:r>
        <w:t>Buyer 2: _____________________________________________________  Date: ____________________</w:t>
      </w:r>
    </w:p>
    <w:p>
      <w:pPr>
        <w:spacing w:after="80"/>
      </w:pPr>
      <w:r>
        <w:t>Seller / Trustee: ____________________________________________  Date: 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instrText xml:space="preserve">PAGE</w:instrText>
      <w:fldChar w:fldCharType="separate"/>
      <w:t>1</w:t>
      <w:fldChar w:fldCharType="end"/>
    </w:r>
    <w:r>
      <w:rPr>
        <w:color w:val="5A5A5A"/>
        <w:sz w:val="18"/>
      </w:rPr>
      <w:t xml:space="preserve"> of </w:t>
    </w:r>
    <w:r>
      <w:rPr>
        <w:color w:val="5A5A5A"/>
        <w:sz w:val="18"/>
      </w:rPr>
      <w:fldChar w:fldCharType="begin"/>
      <w:instrText xml:space="preserve">NUMPAGES</w:instrText>
      <w:fldChar w:fldCharType="separate"/>
      <w:t>1</w:t>
      <w:fldChar w:fldCharType="end"/>
    </w:r>
    <w:r>
      <w:rPr>
        <w:color w:val="5A5A5A"/>
        <w:sz w:val="18"/>
      </w:rPr>
      <w:t xml:space="preserve"> | 26-06-26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