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E123" w14:textId="37D1C8BE" w:rsidR="008B4529" w:rsidRDefault="008B4529" w:rsidP="008B4529">
      <w:pPr>
        <w:spacing w:after="120"/>
        <w:rPr>
          <w:rFonts w:ascii="Aptos" w:hAnsi="Aptos"/>
          <w:b/>
          <w:sz w:val="28"/>
        </w:rPr>
      </w:pPr>
      <w:r w:rsidRPr="008B4529">
        <w:rPr>
          <w:rFonts w:ascii="Aptos" w:hAnsi="Aptos"/>
          <w:b/>
          <w:sz w:val="28"/>
        </w:rPr>
        <w:t>UPDATED CREDITWORTHINESS EVALUATION REPORT</w:t>
      </w:r>
    </w:p>
    <w:p w14:paraId="7ADFED87" w14:textId="7BA84076" w:rsidR="008B4529" w:rsidRDefault="008B4529" w:rsidP="008B4529">
      <w:p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Document-preparation readiness rerun for Ever Amarildo Cardoza Bolanos and Maria Geraldina Sarmiento, 320 Rose Pl, Wendell, North Carolina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2"/>
        <w:gridCol w:w="7862"/>
      </w:tblGrid>
      <w:tr w:rsidR="008B4529" w:rsidRPr="008B4529" w14:paraId="3CD2BDFF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139BC0" w14:textId="399A3560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Prepared by</w:t>
            </w:r>
          </w:p>
        </w:tc>
        <w:tc>
          <w:tcPr>
            <w:tcW w:w="0" w:type="auto"/>
          </w:tcPr>
          <w:p w14:paraId="7D4AE226" w14:textId="6BFE6D74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Investment Services, LLC</w:t>
            </w:r>
          </w:p>
        </w:tc>
      </w:tr>
      <w:tr w:rsidR="008B4529" w:rsidRPr="008B4529" w14:paraId="0A9431E0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CFB294" w14:textId="1AB9E338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Report date</w:t>
            </w:r>
          </w:p>
        </w:tc>
        <w:tc>
          <w:tcPr>
            <w:tcW w:w="0" w:type="auto"/>
          </w:tcPr>
          <w:p w14:paraId="6A02DAE3" w14:textId="684E9A5B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June 11, 2026</w:t>
            </w:r>
          </w:p>
        </w:tc>
      </w:tr>
      <w:tr w:rsidR="008B4529" w:rsidRPr="008B4529" w14:paraId="15A4D80A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4A1811" w14:textId="2A848C0C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Subject buyer</w:t>
            </w:r>
          </w:p>
        </w:tc>
        <w:tc>
          <w:tcPr>
            <w:tcW w:w="0" w:type="auto"/>
          </w:tcPr>
          <w:p w14:paraId="1F8A3F23" w14:textId="39FD6CEB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Ever Amarildo Cardoza Bolanos</w:t>
            </w:r>
          </w:p>
        </w:tc>
      </w:tr>
      <w:tr w:rsidR="008B4529" w:rsidRPr="008B4529" w14:paraId="09AA9557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00C58E" w14:textId="4A4854ED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Additional signing buyer from spreadsheet</w:t>
            </w:r>
          </w:p>
        </w:tc>
        <w:tc>
          <w:tcPr>
            <w:tcW w:w="0" w:type="auto"/>
          </w:tcPr>
          <w:p w14:paraId="68A7D531" w14:textId="53EEF4F8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Maria Geraldina Sarmiento</w:t>
            </w:r>
          </w:p>
        </w:tc>
      </w:tr>
      <w:tr w:rsidR="008B4529" w:rsidRPr="008B4529" w14:paraId="4CF9802D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2FEA97" w14:textId="1138A504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Property</w:t>
            </w:r>
          </w:p>
        </w:tc>
        <w:tc>
          <w:tcPr>
            <w:tcW w:w="0" w:type="auto"/>
          </w:tcPr>
          <w:p w14:paraId="7947A7B3" w14:textId="451F328A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320 Rose Pl, Wendell, NC 27591</w:t>
            </w:r>
          </w:p>
        </w:tc>
      </w:tr>
      <w:tr w:rsidR="008B4529" w:rsidRPr="008B4529" w14:paraId="545259EA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B72BD2" w14:textId="58E2B8CA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Purpose</w:t>
            </w:r>
          </w:p>
        </w:tc>
        <w:tc>
          <w:tcPr>
            <w:tcW w:w="0" w:type="auto"/>
          </w:tcPr>
          <w:p w14:paraId="0018D93B" w14:textId="0CD8035D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Current evidence rerun for Sell Your Home, LLC document-preparation decision and Contract for Deed closing-package support.</w:t>
            </w:r>
          </w:p>
        </w:tc>
      </w:tr>
      <w:tr w:rsidR="008B4529" w:rsidRPr="008B4529" w14:paraId="49F43B78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5049A9" w14:textId="5605C26D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Overall result</w:t>
            </w:r>
          </w:p>
        </w:tc>
        <w:tc>
          <w:tcPr>
            <w:tcW w:w="0" w:type="auto"/>
          </w:tcPr>
          <w:p w14:paraId="0126D634" w14:textId="3600BFEB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Ready for document preparation; closing execution remains subject to required affidavits, funds proof, final legal-name/spelling confirmation, and attorney/compliance review.</w:t>
            </w:r>
          </w:p>
        </w:tc>
      </w:tr>
    </w:tbl>
    <w:p w14:paraId="1097E227" w14:textId="77777777" w:rsidR="008B4529" w:rsidRDefault="008B4529" w:rsidP="008B4529">
      <w:pPr>
        <w:spacing w:after="120"/>
        <w:rPr>
          <w:rFonts w:ascii="Aptos" w:hAnsi="Aptos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14"/>
      </w:tblGrid>
      <w:tr w:rsidR="008B4529" w:rsidRPr="008B4529" w14:paraId="4A5D79A0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8715D6" w14:textId="78391F35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Executive Recommendation</w:t>
            </w:r>
          </w:p>
        </w:tc>
      </w:tr>
      <w:tr w:rsidR="008B4529" w:rsidRPr="008B4529" w14:paraId="1AA64887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0FC284" w14:textId="131BAB77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Proceed with Contract for Deed document preparation. The current file is supportable for document preparation based on verified rent history with related company Buy Your Home, LLC, satisfactory screening/credit indicators, observed business cash flow, and affidavit-supported business judgment. The file should not be marked ready for closing execution until closing deliverables are completed, funds-to-close are proved or accepted by the closing process, buyer name spelling is confirmed, and counsel/compliance review confirms the seller-financing and Contract for Deed package.</w:t>
            </w:r>
          </w:p>
        </w:tc>
      </w:tr>
    </w:tbl>
    <w:p w14:paraId="0E855D03" w14:textId="77777777" w:rsidR="008B4529" w:rsidRDefault="008B4529" w:rsidP="008B4529">
      <w:pPr>
        <w:spacing w:after="120"/>
        <w:rPr>
          <w:rFonts w:ascii="Aptos" w:hAnsi="Aptos"/>
          <w:sz w:val="20"/>
        </w:rPr>
      </w:pPr>
    </w:p>
    <w:p w14:paraId="77F8F248" w14:textId="2473A6CC" w:rsidR="008B4529" w:rsidRDefault="008B4529" w:rsidP="008B4529">
      <w:pPr>
        <w:spacing w:after="120"/>
        <w:rPr>
          <w:rFonts w:ascii="Aptos" w:eastAsiaTheme="majorEastAsia" w:hAnsi="Aptos" w:cstheme="majorBidi"/>
          <w:b/>
          <w:color w:val="0F4761" w:themeColor="accent1" w:themeShade="BF"/>
          <w:szCs w:val="40"/>
        </w:rPr>
      </w:pPr>
      <w:r w:rsidRPr="008B4529">
        <w:rPr>
          <w:rFonts w:ascii="Aptos" w:eastAsiaTheme="majorEastAsia" w:hAnsi="Aptos" w:cstheme="majorBidi"/>
          <w:b/>
          <w:color w:val="0F4761" w:themeColor="accent1" w:themeShade="BF"/>
          <w:szCs w:val="40"/>
        </w:rPr>
        <w:t>1. What Changed In This Rerun</w:t>
      </w:r>
    </w:p>
    <w:p w14:paraId="20BBEC6D" w14:textId="6469DED9" w:rsidR="008B4529" w:rsidRDefault="008B4529" w:rsidP="008B4529">
      <w:p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This rerun replaces the prior DOCX with a Microsoft Word-native document because Wes reported that the previous current Teams copy opened with an error and displayed nothing. The substantive evaluation result is unchanged from the current evidence review.</w:t>
      </w:r>
    </w:p>
    <w:p w14:paraId="04FA3F26" w14:textId="5507EC3C" w:rsidR="008B4529" w:rsidRDefault="008B4529" w:rsidP="008B4529">
      <w:p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The live project spreadsheet identifies Ever Amarildo Cardoza Bolanos as Selling-Buyer1 and Maria Geraldina Sarmiento as Selling-Buyer2. It shows Sell Your Home, LLC as seller, a purchase price of ,500, loan amount of ,710, monthly payment of ,504.43, and manager field of Jose Fabre Jr.</w:t>
      </w:r>
    </w:p>
    <w:p w14:paraId="375DC2BE" w14:textId="2304CD3D" w:rsidR="008B4529" w:rsidRDefault="008B4529" w:rsidP="008B4529">
      <w:pPr>
        <w:spacing w:after="120"/>
        <w:rPr>
          <w:rFonts w:ascii="Aptos" w:eastAsiaTheme="majorEastAsia" w:hAnsi="Aptos" w:cstheme="majorBidi"/>
          <w:b/>
          <w:color w:val="0F4761" w:themeColor="accent1" w:themeShade="BF"/>
          <w:szCs w:val="40"/>
        </w:rPr>
      </w:pPr>
      <w:r w:rsidRPr="008B4529">
        <w:rPr>
          <w:rFonts w:ascii="Aptos" w:eastAsiaTheme="majorEastAsia" w:hAnsi="Aptos" w:cstheme="majorBidi"/>
          <w:b/>
          <w:color w:val="0F4761" w:themeColor="accent1" w:themeShade="BF"/>
          <w:szCs w:val="40"/>
        </w:rPr>
        <w:t>2. Transaction Snapshot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2"/>
        <w:gridCol w:w="2997"/>
      </w:tblGrid>
      <w:tr w:rsidR="008B4529" w:rsidRPr="008B4529" w14:paraId="7F5B8F26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753823" w14:textId="746DBAB1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Item</w:t>
            </w:r>
          </w:p>
        </w:tc>
        <w:tc>
          <w:tcPr>
            <w:tcW w:w="0" w:type="auto"/>
          </w:tcPr>
          <w:p w14:paraId="6FF75A99" w14:textId="30A003F9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Current source value</w:t>
            </w:r>
          </w:p>
        </w:tc>
      </w:tr>
      <w:tr w:rsidR="008B4529" w:rsidRPr="008B4529" w14:paraId="18931F5A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8F9079" w14:textId="05C5420D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Buyer 1</w:t>
            </w:r>
          </w:p>
        </w:tc>
        <w:tc>
          <w:tcPr>
            <w:tcW w:w="0" w:type="auto"/>
          </w:tcPr>
          <w:p w14:paraId="7CA672E8" w14:textId="7B8390FC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Ever Amarildo Cardoza Bolanos</w:t>
            </w:r>
          </w:p>
        </w:tc>
      </w:tr>
      <w:tr w:rsidR="008B4529" w:rsidRPr="008B4529" w14:paraId="41A124F4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2676EA" w14:textId="015E1075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Buyer 2 / signing buyer</w:t>
            </w:r>
          </w:p>
        </w:tc>
        <w:tc>
          <w:tcPr>
            <w:tcW w:w="0" w:type="auto"/>
          </w:tcPr>
          <w:p w14:paraId="61ACEA30" w14:textId="10AA0431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Maria Geraldina Sarmiento</w:t>
            </w:r>
          </w:p>
        </w:tc>
      </w:tr>
      <w:tr w:rsidR="008B4529" w:rsidRPr="008B4529" w14:paraId="4869F610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138599" w14:textId="656F7B4E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Buyer address</w:t>
            </w:r>
          </w:p>
        </w:tc>
        <w:tc>
          <w:tcPr>
            <w:tcW w:w="0" w:type="auto"/>
          </w:tcPr>
          <w:p w14:paraId="2DF91A12" w14:textId="00DA4AD3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4121 Tensity Dr, Raleigh, NC 27604</w:t>
            </w:r>
          </w:p>
        </w:tc>
      </w:tr>
      <w:tr w:rsidR="008B4529" w:rsidRPr="008B4529" w14:paraId="56D734FD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118F44" w14:textId="5175369A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Seller</w:t>
            </w:r>
          </w:p>
        </w:tc>
        <w:tc>
          <w:tcPr>
            <w:tcW w:w="0" w:type="auto"/>
          </w:tcPr>
          <w:p w14:paraId="50B1FA2B" w14:textId="18BC8365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Sell Your Home, LLC</w:t>
            </w:r>
          </w:p>
        </w:tc>
      </w:tr>
      <w:tr w:rsidR="008B4529" w:rsidRPr="008B4529" w14:paraId="73415E92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18A0EF" w14:textId="130989A5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Property</w:t>
            </w:r>
          </w:p>
        </w:tc>
        <w:tc>
          <w:tcPr>
            <w:tcW w:w="0" w:type="auto"/>
          </w:tcPr>
          <w:p w14:paraId="60E2AE30" w14:textId="6FF22B26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320 Rose Pl, Wendell, NC 27591</w:t>
            </w:r>
          </w:p>
        </w:tc>
      </w:tr>
      <w:tr w:rsidR="008B4529" w:rsidRPr="008B4529" w14:paraId="3C895924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D5FFE6" w14:textId="386E3117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County</w:t>
            </w:r>
          </w:p>
        </w:tc>
        <w:tc>
          <w:tcPr>
            <w:tcW w:w="0" w:type="auto"/>
          </w:tcPr>
          <w:p w14:paraId="05C6F3F3" w14:textId="765E0290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Wake County, North Carolina</w:t>
            </w:r>
          </w:p>
        </w:tc>
      </w:tr>
      <w:tr w:rsidR="008B4529" w:rsidRPr="008B4529" w14:paraId="73716C17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2D85D4" w14:textId="0F954BE5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Purchase price</w:t>
            </w:r>
          </w:p>
        </w:tc>
        <w:tc>
          <w:tcPr>
            <w:tcW w:w="0" w:type="auto"/>
          </w:tcPr>
          <w:p w14:paraId="7974085A" w14:textId="6D8D5426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,500.00</w:t>
            </w:r>
          </w:p>
        </w:tc>
      </w:tr>
      <w:tr w:rsidR="008B4529" w:rsidRPr="008B4529" w14:paraId="4AB14152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4C90E2" w14:textId="61E22C57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Earnest money</w:t>
            </w:r>
          </w:p>
        </w:tc>
        <w:tc>
          <w:tcPr>
            <w:tcW w:w="0" w:type="auto"/>
          </w:tcPr>
          <w:p w14:paraId="515F28E9" w14:textId="3CCBED3B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,000.00</w:t>
            </w:r>
          </w:p>
        </w:tc>
      </w:tr>
      <w:tr w:rsidR="008B4529" w:rsidRPr="008B4529" w14:paraId="3E2DEBCF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23B5FE" w14:textId="7658D249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lastRenderedPageBreak/>
              <w:t>Down payment</w:t>
            </w:r>
          </w:p>
        </w:tc>
        <w:tc>
          <w:tcPr>
            <w:tcW w:w="0" w:type="auto"/>
          </w:tcPr>
          <w:p w14:paraId="2E098487" w14:textId="48884343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,790.00</w:t>
            </w:r>
          </w:p>
        </w:tc>
      </w:tr>
      <w:tr w:rsidR="008B4529" w:rsidRPr="008B4529" w14:paraId="6EA06957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BC49F5" w14:textId="2E894E36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Loan amount</w:t>
            </w:r>
          </w:p>
        </w:tc>
        <w:tc>
          <w:tcPr>
            <w:tcW w:w="0" w:type="auto"/>
          </w:tcPr>
          <w:p w14:paraId="0C6DE2BF" w14:textId="648A4488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,710.00</w:t>
            </w:r>
          </w:p>
        </w:tc>
      </w:tr>
      <w:tr w:rsidR="008B4529" w:rsidRPr="008B4529" w14:paraId="002D2561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F62908" w14:textId="27740A39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Monthly payment</w:t>
            </w:r>
          </w:p>
        </w:tc>
        <w:tc>
          <w:tcPr>
            <w:tcW w:w="0" w:type="auto"/>
          </w:tcPr>
          <w:p w14:paraId="7090DAF7" w14:textId="29B8E701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,504.43</w:t>
            </w:r>
          </w:p>
        </w:tc>
      </w:tr>
      <w:tr w:rsidR="008B4529" w:rsidRPr="008B4529" w14:paraId="54DAA6A0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FFA03A" w14:textId="3582D0FA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Loan start / end</w:t>
            </w:r>
          </w:p>
        </w:tc>
        <w:tc>
          <w:tcPr>
            <w:tcW w:w="0" w:type="auto"/>
          </w:tcPr>
          <w:p w14:paraId="0FB2AE70" w14:textId="7697E8D3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July 1, 2026 / June 1, 2056</w:t>
            </w:r>
          </w:p>
        </w:tc>
      </w:tr>
      <w:tr w:rsidR="008B4529" w:rsidRPr="008B4529" w14:paraId="2E594732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371AD8" w14:textId="3CCBD6F8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Trustee</w:t>
            </w:r>
          </w:p>
        </w:tc>
        <w:tc>
          <w:tcPr>
            <w:tcW w:w="0" w:type="auto"/>
          </w:tcPr>
          <w:p w14:paraId="540DBEB0" w14:textId="7302CCB8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Investment Services LLC</w:t>
            </w:r>
          </w:p>
        </w:tc>
      </w:tr>
      <w:tr w:rsidR="008B4529" w:rsidRPr="008B4529" w14:paraId="2346F690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0D1A2A" w14:textId="4D74ACDF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Manager field in spreadsheet</w:t>
            </w:r>
          </w:p>
        </w:tc>
        <w:tc>
          <w:tcPr>
            <w:tcW w:w="0" w:type="auto"/>
          </w:tcPr>
          <w:p w14:paraId="3BB17E4C" w14:textId="1018D4EF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Jose Fabre Jr.</w:t>
            </w:r>
          </w:p>
        </w:tc>
      </w:tr>
    </w:tbl>
    <w:p w14:paraId="311BA0D9" w14:textId="77777777" w:rsidR="008B4529" w:rsidRDefault="008B4529" w:rsidP="008B4529">
      <w:pPr>
        <w:spacing w:after="120"/>
        <w:rPr>
          <w:rFonts w:ascii="Aptos" w:hAnsi="Aptos"/>
          <w:b/>
        </w:rPr>
      </w:pPr>
    </w:p>
    <w:p w14:paraId="22C2ED91" w14:textId="2B20A1C1" w:rsidR="008B4529" w:rsidRDefault="008B4529" w:rsidP="008B4529">
      <w:pPr>
        <w:spacing w:after="120"/>
        <w:rPr>
          <w:rFonts w:ascii="Aptos" w:eastAsiaTheme="majorEastAsia" w:hAnsi="Aptos" w:cstheme="majorBidi"/>
          <w:b/>
          <w:color w:val="0F4761" w:themeColor="accent1" w:themeShade="BF"/>
          <w:szCs w:val="40"/>
        </w:rPr>
      </w:pPr>
      <w:r w:rsidRPr="008B4529">
        <w:rPr>
          <w:rFonts w:ascii="Aptos" w:eastAsiaTheme="majorEastAsia" w:hAnsi="Aptos" w:cstheme="majorBidi"/>
          <w:b/>
          <w:color w:val="0F4761" w:themeColor="accent1" w:themeShade="BF"/>
          <w:szCs w:val="40"/>
        </w:rPr>
        <w:t>3. Screening Strengths</w:t>
      </w:r>
    </w:p>
    <w:p w14:paraId="3DADFE88" w14:textId="570A7FE5" w:rsidR="008B4529" w:rsidRDefault="008B4529" w:rsidP="008B4529">
      <w:p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The Zillow screening materials identify Ever Amarildo Cardoza as identity verified, self-employed, and residing at 4121 Tensity Dr since June 1, 2025. The stated monthly self-employment income is ,500.</w:t>
      </w:r>
    </w:p>
    <w:p w14:paraId="21F9077E" w14:textId="69A12C16" w:rsidR="008B4529" w:rsidRDefault="008B4529" w:rsidP="008B4529">
      <w:p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The credit report dated June 5, 2026 shows a 706 VantageScore 4.0, 100% on-time payments, no collections found, and no bankruptcies found. Reported monthly debt payments are ,162, with total debt of ,790.</w:t>
      </w:r>
    </w:p>
    <w:p w14:paraId="701E4F3F" w14:textId="55D31B79" w:rsidR="008B4529" w:rsidRDefault="008B4529" w:rsidP="008B4529">
      <w:pPr>
        <w:spacing w:after="120"/>
        <w:rPr>
          <w:rFonts w:ascii="Aptos" w:eastAsiaTheme="majorEastAsia" w:hAnsi="Aptos" w:cstheme="majorBidi"/>
          <w:b/>
          <w:color w:val="0F4761" w:themeColor="accent1" w:themeShade="BF"/>
          <w:szCs w:val="40"/>
        </w:rPr>
      </w:pPr>
      <w:r w:rsidRPr="008B4529">
        <w:rPr>
          <w:rFonts w:ascii="Aptos" w:eastAsiaTheme="majorEastAsia" w:hAnsi="Aptos" w:cstheme="majorBidi"/>
          <w:b/>
          <w:color w:val="0F4761" w:themeColor="accent1" w:themeShade="BF"/>
          <w:szCs w:val="40"/>
        </w:rPr>
        <w:t>4. Ability-To-Repay Findings</w:t>
      </w:r>
    </w:p>
    <w:p w14:paraId="6159471D" w14:textId="52AB569E" w:rsidR="008B4529" w:rsidRDefault="008B4529" w:rsidP="008B4529">
      <w:p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On strict underwriting evidence, borrower-level net self-employment income remains incompletely documented because the file still lacks tax returns, a profit-and-loss statement, payroll records, or an owner-draw analysis. The evaluator should not convert gross business receipts into verified personal net income without those records.</w:t>
      </w:r>
    </w:p>
    <w:p w14:paraId="392AB1B8" w14:textId="6E60E822" w:rsidR="008B4529" w:rsidRDefault="008B4529" w:rsidP="008B4529">
      <w:p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For document-preparation readiness, the file remains supportable because the proposed housing payment is only .43 above the verified related-company rent of ,850, the buyer has a direct rent-payment track record with Buy Your Home, LLC, and the available business records show sustained gross activity sufficient to support a business-judgment review.</w:t>
      </w:r>
    </w:p>
    <w:p w14:paraId="79286EDF" w14:textId="1F3250A8" w:rsidR="008B4529" w:rsidRDefault="008B4529" w:rsidP="008B4529">
      <w:pPr>
        <w:spacing w:after="120"/>
        <w:rPr>
          <w:rFonts w:ascii="Aptos" w:eastAsiaTheme="majorEastAsia" w:hAnsi="Aptos" w:cstheme="majorBidi"/>
          <w:b/>
          <w:color w:val="0F4761" w:themeColor="accent1" w:themeShade="BF"/>
          <w:szCs w:val="40"/>
        </w:rPr>
      </w:pPr>
      <w:r w:rsidRPr="008B4529">
        <w:rPr>
          <w:rFonts w:ascii="Aptos" w:eastAsiaTheme="majorEastAsia" w:hAnsi="Aptos" w:cstheme="majorBidi"/>
          <w:b/>
          <w:color w:val="0F4761" w:themeColor="accent1" w:themeShade="BF"/>
          <w:szCs w:val="40"/>
        </w:rPr>
        <w:t>5. Income And Business Cash Flow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5"/>
        <w:gridCol w:w="7129"/>
      </w:tblGrid>
      <w:tr w:rsidR="008B4529" w:rsidRPr="008B4529" w14:paraId="0C7FA86D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C32535" w14:textId="04F7B240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Metric</w:t>
            </w:r>
          </w:p>
        </w:tc>
        <w:tc>
          <w:tcPr>
            <w:tcW w:w="0" w:type="auto"/>
          </w:tcPr>
          <w:p w14:paraId="3A774430" w14:textId="2D7DED29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Current evidence</w:t>
            </w:r>
          </w:p>
        </w:tc>
      </w:tr>
      <w:tr w:rsidR="008B4529" w:rsidRPr="008B4529" w14:paraId="6FB4E224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6D1FE9" w14:textId="5300024E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Applicant-stated self-employed income</w:t>
            </w:r>
          </w:p>
        </w:tc>
        <w:tc>
          <w:tcPr>
            <w:tcW w:w="0" w:type="auto"/>
          </w:tcPr>
          <w:p w14:paraId="2D6DFDF8" w14:textId="42653DF5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,500.00 per month</w:t>
            </w:r>
          </w:p>
        </w:tc>
      </w:tr>
      <w:tr w:rsidR="008B4529" w:rsidRPr="008B4529" w14:paraId="7FE636CF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54711F" w14:textId="4106AEC1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Business bank statements reviewed</w:t>
            </w:r>
          </w:p>
        </w:tc>
        <w:tc>
          <w:tcPr>
            <w:tcW w:w="0" w:type="auto"/>
          </w:tcPr>
          <w:p w14:paraId="0784776D" w14:textId="386AF848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17 statement periods summarized</w:t>
            </w:r>
          </w:p>
        </w:tc>
      </w:tr>
      <w:tr w:rsidR="008B4529" w:rsidRPr="008B4529" w14:paraId="72C3D3F3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D19577" w14:textId="7AC3B7A5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Average business deposits</w:t>
            </w:r>
          </w:p>
        </w:tc>
        <w:tc>
          <w:tcPr>
            <w:tcW w:w="0" w:type="auto"/>
          </w:tcPr>
          <w:p w14:paraId="2C5FD039" w14:textId="41693ECF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,773.92 per month</w:t>
            </w:r>
          </w:p>
        </w:tc>
      </w:tr>
      <w:tr w:rsidR="008B4529" w:rsidRPr="008B4529" w14:paraId="2FC8FA01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A708C9" w14:textId="7D9B6D6D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Average business withdrawals</w:t>
            </w:r>
          </w:p>
        </w:tc>
        <w:tc>
          <w:tcPr>
            <w:tcW w:w="0" w:type="auto"/>
          </w:tcPr>
          <w:p w14:paraId="6C08FC6E" w14:textId="4EC1F3D2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,622.03 per month</w:t>
            </w:r>
          </w:p>
        </w:tc>
      </w:tr>
      <w:tr w:rsidR="008B4529" w:rsidRPr="008B4529" w14:paraId="734ED1E0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2BBD86" w14:textId="01B397A2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Total business deposits summarized</w:t>
            </w:r>
          </w:p>
        </w:tc>
        <w:tc>
          <w:tcPr>
            <w:tcW w:w="0" w:type="auto"/>
          </w:tcPr>
          <w:p w14:paraId="45128A42" w14:textId="61CCDB3F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,156.56</w:t>
            </w:r>
          </w:p>
        </w:tc>
      </w:tr>
      <w:tr w:rsidR="008B4529" w:rsidRPr="008B4529" w14:paraId="15639CF8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D67EA7" w14:textId="0B03DEFA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Total business withdrawals summarized</w:t>
            </w:r>
          </w:p>
        </w:tc>
        <w:tc>
          <w:tcPr>
            <w:tcW w:w="0" w:type="auto"/>
          </w:tcPr>
          <w:p w14:paraId="0CC5A550" w14:textId="2E8DD432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,574.46</w:t>
            </w:r>
          </w:p>
        </w:tc>
      </w:tr>
      <w:tr w:rsidR="008B4529" w:rsidRPr="008B4529" w14:paraId="6AE216ED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89A4B2" w14:textId="12123E8F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Latest business ending balance</w:t>
            </w:r>
          </w:p>
        </w:tc>
        <w:tc>
          <w:tcPr>
            <w:tcW w:w="0" w:type="auto"/>
          </w:tcPr>
          <w:p w14:paraId="208008E6" w14:textId="60F6B6DC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,058.11</w:t>
            </w:r>
          </w:p>
        </w:tc>
      </w:tr>
      <w:tr w:rsidR="008B4529" w:rsidRPr="008B4529" w14:paraId="4693E51E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9664DA" w14:textId="73D1F7A0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Personal bank statements summarized</w:t>
            </w:r>
          </w:p>
        </w:tc>
        <w:tc>
          <w:tcPr>
            <w:tcW w:w="0" w:type="auto"/>
          </w:tcPr>
          <w:p w14:paraId="6AA7E89E" w14:textId="5915AFEE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12 statement periods; average deposits ,040.14 per month</w:t>
            </w:r>
          </w:p>
        </w:tc>
      </w:tr>
      <w:tr w:rsidR="008B4529" w:rsidRPr="008B4529" w14:paraId="1F4A6B00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C98312" w14:textId="300B3293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Receipts/receivables</w:t>
            </w:r>
          </w:p>
        </w:tc>
        <w:tc>
          <w:tcPr>
            <w:tcW w:w="0" w:type="auto"/>
          </w:tcPr>
          <w:p w14:paraId="77B614D7" w14:textId="38A00792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Receipt packages support gross receipts only; they do not establish borrower-level net income by themselves.</w:t>
            </w:r>
          </w:p>
        </w:tc>
      </w:tr>
    </w:tbl>
    <w:p w14:paraId="6E6DD1F6" w14:textId="77777777" w:rsidR="008B4529" w:rsidRDefault="008B4529" w:rsidP="008B4529">
      <w:pPr>
        <w:spacing w:after="120"/>
        <w:rPr>
          <w:rFonts w:ascii="Aptos" w:hAnsi="Aptos"/>
          <w:b/>
        </w:rPr>
      </w:pPr>
    </w:p>
    <w:p w14:paraId="517A354F" w14:textId="585BF6DB" w:rsidR="008B4529" w:rsidRDefault="008B4529" w:rsidP="008B4529">
      <w:pPr>
        <w:spacing w:after="120"/>
        <w:rPr>
          <w:rFonts w:ascii="Aptos" w:eastAsiaTheme="majorEastAsia" w:hAnsi="Aptos" w:cstheme="majorBidi"/>
          <w:b/>
          <w:color w:val="0F4761" w:themeColor="accent1" w:themeShade="BF"/>
          <w:szCs w:val="40"/>
        </w:rPr>
      </w:pPr>
      <w:r w:rsidRPr="008B4529">
        <w:rPr>
          <w:rFonts w:ascii="Aptos" w:eastAsiaTheme="majorEastAsia" w:hAnsi="Aptos" w:cstheme="majorBidi"/>
          <w:b/>
          <w:color w:val="0F4761" w:themeColor="accent1" w:themeShade="BF"/>
          <w:szCs w:val="40"/>
        </w:rPr>
        <w:t>6. Debt Burden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1686"/>
      </w:tblGrid>
      <w:tr w:rsidR="008B4529" w:rsidRPr="008B4529" w14:paraId="29606937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04781E" w14:textId="199AC357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Debt item</w:t>
            </w:r>
          </w:p>
        </w:tc>
        <w:tc>
          <w:tcPr>
            <w:tcW w:w="0" w:type="auto"/>
          </w:tcPr>
          <w:p w14:paraId="188109C4" w14:textId="6144A35D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Amount / status</w:t>
            </w:r>
          </w:p>
        </w:tc>
      </w:tr>
      <w:tr w:rsidR="008B4529" w:rsidRPr="008B4529" w14:paraId="59BA3185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B1219E" w14:textId="213C20EC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Credit-report estimated monthly payments</w:t>
            </w:r>
          </w:p>
        </w:tc>
        <w:tc>
          <w:tcPr>
            <w:tcW w:w="0" w:type="auto"/>
          </w:tcPr>
          <w:p w14:paraId="1063A4E9" w14:textId="1AC7B40F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,162.00</w:t>
            </w:r>
          </w:p>
        </w:tc>
      </w:tr>
      <w:tr w:rsidR="008B4529" w:rsidRPr="008B4529" w14:paraId="3722EC96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0AA1F8" w14:textId="7A53715F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Total reported debt</w:t>
            </w:r>
          </w:p>
        </w:tc>
        <w:tc>
          <w:tcPr>
            <w:tcW w:w="0" w:type="auto"/>
          </w:tcPr>
          <w:p w14:paraId="4DF47B16" w14:textId="6E31461D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,790</w:t>
            </w:r>
          </w:p>
        </w:tc>
      </w:tr>
      <w:tr w:rsidR="008B4529" w:rsidRPr="008B4529" w14:paraId="1D301C0A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DAF80E" w14:textId="735BC96F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lastRenderedPageBreak/>
              <w:t>Collections</w:t>
            </w:r>
          </w:p>
        </w:tc>
        <w:tc>
          <w:tcPr>
            <w:tcW w:w="0" w:type="auto"/>
          </w:tcPr>
          <w:p w14:paraId="586B0873" w14:textId="234B8DC1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None found</w:t>
            </w:r>
          </w:p>
        </w:tc>
      </w:tr>
      <w:tr w:rsidR="008B4529" w:rsidRPr="008B4529" w14:paraId="1281D203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B07390" w14:textId="2489E448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Bankruptcies</w:t>
            </w:r>
          </w:p>
        </w:tc>
        <w:tc>
          <w:tcPr>
            <w:tcW w:w="0" w:type="auto"/>
          </w:tcPr>
          <w:p w14:paraId="614E4389" w14:textId="5907565A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None found</w:t>
            </w:r>
          </w:p>
        </w:tc>
      </w:tr>
      <w:tr w:rsidR="008B4529" w:rsidRPr="008B4529" w14:paraId="6191EB62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627E81" w14:textId="09889D61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Current rent verified by related company</w:t>
            </w:r>
          </w:p>
        </w:tc>
        <w:tc>
          <w:tcPr>
            <w:tcW w:w="0" w:type="auto"/>
          </w:tcPr>
          <w:p w14:paraId="729BE44A" w14:textId="590A4E2E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,850.00 per month</w:t>
            </w:r>
          </w:p>
        </w:tc>
      </w:tr>
      <w:tr w:rsidR="008B4529" w:rsidRPr="008B4529" w14:paraId="0449ADBC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FFFC39" w14:textId="7B662089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Increase from verified rent to proposed payment</w:t>
            </w:r>
          </w:p>
        </w:tc>
        <w:tc>
          <w:tcPr>
            <w:tcW w:w="0" w:type="auto"/>
          </w:tcPr>
          <w:p w14:paraId="387BE695" w14:textId="17FB2235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.43 per month</w:t>
            </w:r>
          </w:p>
        </w:tc>
      </w:tr>
    </w:tbl>
    <w:p w14:paraId="14D57277" w14:textId="77777777" w:rsidR="008B4529" w:rsidRDefault="008B4529" w:rsidP="008B4529">
      <w:pPr>
        <w:spacing w:after="120"/>
        <w:rPr>
          <w:rFonts w:ascii="Aptos" w:hAnsi="Aptos"/>
          <w:b/>
        </w:rPr>
      </w:pPr>
    </w:p>
    <w:p w14:paraId="1D4CF8FA" w14:textId="2CF86178" w:rsidR="008B4529" w:rsidRDefault="008B4529" w:rsidP="008B4529">
      <w:pPr>
        <w:spacing w:after="120"/>
        <w:rPr>
          <w:rFonts w:ascii="Aptos" w:eastAsiaTheme="majorEastAsia" w:hAnsi="Aptos" w:cstheme="majorBidi"/>
          <w:b/>
          <w:color w:val="0F4761" w:themeColor="accent1" w:themeShade="BF"/>
          <w:szCs w:val="40"/>
        </w:rPr>
      </w:pPr>
      <w:r w:rsidRPr="008B4529">
        <w:rPr>
          <w:rFonts w:ascii="Aptos" w:eastAsiaTheme="majorEastAsia" w:hAnsi="Aptos" w:cstheme="majorBidi"/>
          <w:b/>
          <w:color w:val="0F4761" w:themeColor="accent1" w:themeShade="BF"/>
          <w:szCs w:val="40"/>
        </w:rPr>
        <w:t>7. Payment Ratios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96"/>
        <w:gridCol w:w="2400"/>
        <w:gridCol w:w="742"/>
      </w:tblGrid>
      <w:tr w:rsidR="008B4529" w:rsidRPr="008B4529" w14:paraId="513E58A9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CB7DF2" w14:textId="1CE010CF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Ratio test</w:t>
            </w:r>
          </w:p>
        </w:tc>
        <w:tc>
          <w:tcPr>
            <w:tcW w:w="0" w:type="auto"/>
          </w:tcPr>
          <w:p w14:paraId="68AB6BDA" w14:textId="5AF1A393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Calculation</w:t>
            </w:r>
          </w:p>
        </w:tc>
        <w:tc>
          <w:tcPr>
            <w:tcW w:w="0" w:type="auto"/>
          </w:tcPr>
          <w:p w14:paraId="13557A37" w14:textId="031D1818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Result</w:t>
            </w:r>
          </w:p>
        </w:tc>
      </w:tr>
      <w:tr w:rsidR="008B4529" w:rsidRPr="008B4529" w14:paraId="763B89A4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DC2C93" w14:textId="0E321475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Housing ratio using stated income</w:t>
            </w:r>
          </w:p>
        </w:tc>
        <w:tc>
          <w:tcPr>
            <w:tcW w:w="0" w:type="auto"/>
          </w:tcPr>
          <w:p w14:paraId="1CA6F3CC" w14:textId="324787C7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,504.43 / ,500.00</w:t>
            </w:r>
          </w:p>
        </w:tc>
        <w:tc>
          <w:tcPr>
            <w:tcW w:w="0" w:type="auto"/>
          </w:tcPr>
          <w:p w14:paraId="4BE39E45" w14:textId="7D309B68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26.4%</w:t>
            </w:r>
          </w:p>
        </w:tc>
      </w:tr>
      <w:tr w:rsidR="008B4529" w:rsidRPr="008B4529" w14:paraId="0AC35BB0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1C4AD8" w14:textId="4CC6D4E0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Back-end ratio using stated income</w:t>
            </w:r>
          </w:p>
        </w:tc>
        <w:tc>
          <w:tcPr>
            <w:tcW w:w="0" w:type="auto"/>
          </w:tcPr>
          <w:p w14:paraId="09701A76" w14:textId="02E16507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(,504.43 + ,162.00) / ,500.00</w:t>
            </w:r>
          </w:p>
        </w:tc>
        <w:tc>
          <w:tcPr>
            <w:tcW w:w="0" w:type="auto"/>
          </w:tcPr>
          <w:p w14:paraId="2CB3DA1D" w14:textId="1BED743E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49.1%</w:t>
            </w:r>
          </w:p>
        </w:tc>
      </w:tr>
      <w:tr w:rsidR="008B4529" w:rsidRPr="008B4529" w14:paraId="425A4A45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A1178D" w14:textId="7F9138ED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Increase over verified rent</w:t>
            </w:r>
          </w:p>
        </w:tc>
        <w:tc>
          <w:tcPr>
            <w:tcW w:w="0" w:type="auto"/>
          </w:tcPr>
          <w:p w14:paraId="561140EE" w14:textId="0141DB1B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,504.43 - ,850.00</w:t>
            </w:r>
          </w:p>
        </w:tc>
        <w:tc>
          <w:tcPr>
            <w:tcW w:w="0" w:type="auto"/>
          </w:tcPr>
          <w:p w14:paraId="6EF4D9F4" w14:textId="567F49CA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.43</w:t>
            </w:r>
          </w:p>
        </w:tc>
      </w:tr>
    </w:tbl>
    <w:p w14:paraId="1645415D" w14:textId="77777777" w:rsidR="008B4529" w:rsidRDefault="008B4529" w:rsidP="008B4529">
      <w:pPr>
        <w:spacing w:after="120"/>
        <w:rPr>
          <w:rFonts w:ascii="Aptos" w:hAnsi="Aptos"/>
          <w:b/>
        </w:rPr>
      </w:pPr>
    </w:p>
    <w:p w14:paraId="16CB262C" w14:textId="09A64BF9" w:rsidR="008B4529" w:rsidRDefault="008B4529" w:rsidP="008B4529">
      <w:p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Using stated income, the back-end ratio is approximately 49.1%. That ratio is elevated, but it is not by itself a document-preparation stop when the seller/business decides to proceed based on the buyer's verified rent history, credit performance, and required closing affidavits.</w:t>
      </w:r>
    </w:p>
    <w:p w14:paraId="4E1D8653" w14:textId="5DB6F033" w:rsidR="008B4529" w:rsidRDefault="008B4529" w:rsidP="008B4529">
      <w:pPr>
        <w:spacing w:after="120"/>
        <w:rPr>
          <w:rFonts w:ascii="Aptos" w:eastAsiaTheme="majorEastAsia" w:hAnsi="Aptos" w:cstheme="majorBidi"/>
          <w:b/>
          <w:color w:val="0F4761" w:themeColor="accent1" w:themeShade="BF"/>
          <w:szCs w:val="40"/>
        </w:rPr>
      </w:pPr>
      <w:r w:rsidRPr="008B4529">
        <w:rPr>
          <w:rFonts w:ascii="Aptos" w:eastAsiaTheme="majorEastAsia" w:hAnsi="Aptos" w:cstheme="majorBidi"/>
          <w:b/>
          <w:color w:val="0F4761" w:themeColor="accent1" w:themeShade="BF"/>
          <w:szCs w:val="40"/>
        </w:rPr>
        <w:t>8. Cash To Close And Reserves</w:t>
      </w:r>
    </w:p>
    <w:p w14:paraId="5DE478B0" w14:textId="3AB78FFD" w:rsidR="008B4529" w:rsidRDefault="008B4529" w:rsidP="008B4529">
      <w:p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The spreadsheet requires ,000 earnest money and total down payment of ,790. Current support materials include an affidavit package addressing observed cash, receivables, and foreign-fund access, but the file still needs final funds-to-close proof or closing-accepted handling before execution.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70"/>
        <w:gridCol w:w="7203"/>
      </w:tblGrid>
      <w:tr w:rsidR="008B4529" w:rsidRPr="008B4529" w14:paraId="35FC8106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6D9C12" w14:textId="5E4F8348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Item</w:t>
            </w:r>
          </w:p>
        </w:tc>
        <w:tc>
          <w:tcPr>
            <w:tcW w:w="0" w:type="auto"/>
          </w:tcPr>
          <w:p w14:paraId="40090B1F" w14:textId="2B6C4A82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Status</w:t>
            </w:r>
          </w:p>
        </w:tc>
      </w:tr>
      <w:tr w:rsidR="008B4529" w:rsidRPr="008B4529" w14:paraId="4EAE3A04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EE9813" w14:textId="74731F89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Earnest money</w:t>
            </w:r>
          </w:p>
        </w:tc>
        <w:tc>
          <w:tcPr>
            <w:tcW w:w="0" w:type="auto"/>
          </w:tcPr>
          <w:p w14:paraId="064CE307" w14:textId="7F8DC174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Spreadsheet shows ,000; final proof/receipt handling still required.</w:t>
            </w:r>
          </w:p>
        </w:tc>
      </w:tr>
      <w:tr w:rsidR="008B4529" w:rsidRPr="008B4529" w14:paraId="139BBED0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F48752" w14:textId="7C43748D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Remaining down payment</w:t>
            </w:r>
          </w:p>
        </w:tc>
        <w:tc>
          <w:tcPr>
            <w:tcW w:w="0" w:type="auto"/>
          </w:tcPr>
          <w:p w14:paraId="1BF7FC6E" w14:textId="42DB3757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Total down payment shown as ,790; final closing proof still required.</w:t>
            </w:r>
          </w:p>
        </w:tc>
      </w:tr>
      <w:tr w:rsidR="008B4529" w:rsidRPr="008B4529" w14:paraId="34617DEA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F3E38A" w14:textId="6EE6D0A8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Cash/reserve observation affidavit</w:t>
            </w:r>
          </w:p>
        </w:tc>
        <w:tc>
          <w:tcPr>
            <w:tcW w:w="0" w:type="auto"/>
          </w:tcPr>
          <w:p w14:paraId="1F6D04E5" w14:textId="27DFA4E2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Useful support if signed/notarized and accepted by counsel/closing process.</w:t>
            </w:r>
          </w:p>
        </w:tc>
      </w:tr>
      <w:tr w:rsidR="008B4529" w:rsidRPr="008B4529" w14:paraId="62291D22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2840BE" w14:textId="49C542A6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Receivables</w:t>
            </w:r>
          </w:p>
        </w:tc>
        <w:tc>
          <w:tcPr>
            <w:tcW w:w="0" w:type="auto"/>
          </w:tcPr>
          <w:p w14:paraId="72487E7B" w14:textId="2F9ABE43" w:rsidR="008B4529" w:rsidRPr="008B4529" w:rsidRDefault="008B4529" w:rsidP="008B4529">
            <w:pPr>
              <w:spacing w:after="120"/>
              <w:rPr>
                <w:rFonts w:ascii="Aptos" w:hAnsi="Aptos"/>
                <w:sz w:val="18"/>
              </w:rPr>
            </w:pPr>
            <w:r>
              <w:rPr>
                <w:rFonts w:ascii="Aptos" w:hAnsi="Aptos"/>
                <w:sz w:val="18"/>
              </w:rPr>
              <w:t>Do not count as liquid reserves unless collection is proved or accepted by closing reviewer.</w:t>
            </w:r>
          </w:p>
        </w:tc>
      </w:tr>
    </w:tbl>
    <w:p w14:paraId="52EBB031" w14:textId="77777777" w:rsidR="008B4529" w:rsidRDefault="008B4529" w:rsidP="008B4529">
      <w:pPr>
        <w:spacing w:after="120"/>
        <w:rPr>
          <w:rFonts w:ascii="Aptos" w:hAnsi="Aptos"/>
          <w:sz w:val="20"/>
        </w:rPr>
      </w:pPr>
    </w:p>
    <w:p w14:paraId="4A0DD6B8" w14:textId="0FF32FA2" w:rsidR="008B4529" w:rsidRDefault="008B4529" w:rsidP="008B4529">
      <w:pPr>
        <w:spacing w:after="120"/>
        <w:rPr>
          <w:rFonts w:ascii="Aptos" w:eastAsiaTheme="majorEastAsia" w:hAnsi="Aptos" w:cstheme="majorBidi"/>
          <w:b/>
          <w:color w:val="0F4761" w:themeColor="accent1" w:themeShade="BF"/>
          <w:szCs w:val="40"/>
        </w:rPr>
      </w:pPr>
      <w:r w:rsidRPr="008B4529">
        <w:rPr>
          <w:rFonts w:ascii="Aptos" w:eastAsiaTheme="majorEastAsia" w:hAnsi="Aptos" w:cstheme="majorBidi"/>
          <w:b/>
          <w:color w:val="0F4761" w:themeColor="accent1" w:themeShade="BF"/>
          <w:szCs w:val="40"/>
        </w:rPr>
        <w:t>9. Decision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14"/>
      </w:tblGrid>
      <w:tr w:rsidR="008B4529" w:rsidRPr="008B4529" w14:paraId="3F68A6BC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E0F6CB" w14:textId="3A2CC60C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Decision</w:t>
            </w:r>
          </w:p>
        </w:tc>
      </w:tr>
      <w:tr w:rsidR="008B4529" w:rsidRPr="008B4529" w14:paraId="723A1B0D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D13DBC" w14:textId="101E48B0" w:rsidR="008B4529" w:rsidRPr="008B4529" w:rsidRDefault="008B4529" w:rsidP="008B4529">
            <w:pPr>
              <w:spacing w:after="12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Credit/evaluation status: supportable for document preparation under a business-judgment and closing-deliverables approach. Closing-package readiness status: Ready for document preparation. Not ready for closing execution until listed closing deliverables and legal/compliance review are complete.</w:t>
            </w:r>
          </w:p>
        </w:tc>
      </w:tr>
    </w:tbl>
    <w:p w14:paraId="13FC9010" w14:textId="77777777" w:rsidR="008B4529" w:rsidRDefault="008B4529" w:rsidP="008B4529">
      <w:pPr>
        <w:spacing w:after="120"/>
        <w:rPr>
          <w:rFonts w:ascii="Aptos" w:hAnsi="Aptos"/>
          <w:b/>
        </w:rPr>
      </w:pPr>
    </w:p>
    <w:p w14:paraId="562556B3" w14:textId="717BEE4F" w:rsidR="008B4529" w:rsidRDefault="008B4529" w:rsidP="008B4529">
      <w:pPr>
        <w:spacing w:after="120"/>
        <w:rPr>
          <w:rFonts w:ascii="Aptos" w:eastAsiaTheme="majorEastAsia" w:hAnsi="Aptos" w:cstheme="majorBidi"/>
          <w:b/>
          <w:color w:val="0F4761" w:themeColor="accent1" w:themeShade="BF"/>
          <w:szCs w:val="40"/>
        </w:rPr>
      </w:pPr>
      <w:r w:rsidRPr="008B4529">
        <w:rPr>
          <w:rFonts w:ascii="Aptos" w:eastAsiaTheme="majorEastAsia" w:hAnsi="Aptos" w:cstheme="majorBidi"/>
          <w:b/>
          <w:color w:val="0F4761" w:themeColor="accent1" w:themeShade="BF"/>
          <w:szCs w:val="40"/>
        </w:rPr>
        <w:t>10. Conditions Or Documents Required Before Approval/Closing</w:t>
      </w:r>
    </w:p>
    <w:p w14:paraId="6DA512E9" w14:textId="70D3724C" w:rsidR="008B4529" w:rsidRDefault="008B4529" w:rsidP="008B4529">
      <w:p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Signed/notarized support affidavits or counsel-approved substitutes.</w:t>
      </w:r>
    </w:p>
    <w:p w14:paraId="08A1AE39" w14:textId="3DA57708" w:rsidR="008B4529" w:rsidRDefault="008B4529" w:rsidP="008B4529">
      <w:pPr>
        <w:pStyle w:val="ListParagraph"/>
        <w:numPr>
          <w:ilvl w:val="0"/>
          <w:numId w:val="1"/>
        </w:num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Final proof or closing-accepted handling for earnest money, down payment, closing costs, and any expected post-closing reserves.</w:t>
      </w:r>
    </w:p>
    <w:p w14:paraId="0F127F48" w14:textId="53A9B1A4" w:rsidR="008B4529" w:rsidRDefault="008B4529" w:rsidP="008B4529">
      <w:pPr>
        <w:spacing w:after="120"/>
        <w:ind w:left="36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lastRenderedPageBreak/>
        <w:t>Final legal-name spelling confirmation for Ever Amarildo Cardoza Bolanos and Maria Geraldina Sarmiento.</w:t>
      </w:r>
    </w:p>
    <w:p w14:paraId="1AD78EA8" w14:textId="5A88844B" w:rsidR="008B4529" w:rsidRDefault="008B4529" w:rsidP="008B4529">
      <w:pPr>
        <w:pStyle w:val="ListParagraph"/>
        <w:numPr>
          <w:ilvl w:val="0"/>
          <w:numId w:val="1"/>
        </w:num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Resolution of any signature-authority conflict created by spreadsheet manager fields versus affidavit or prior workflow materials.</w:t>
      </w:r>
    </w:p>
    <w:p w14:paraId="0DEC6EEE" w14:textId="42686698" w:rsidR="008B4529" w:rsidRDefault="008B4529" w:rsidP="008B4529">
      <w:pPr>
        <w:spacing w:after="120"/>
        <w:ind w:left="36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Attorney/compliance review of seller-financing, ability-to-repay, disclosure, state Contract for Deed, title, recording, notice, and adverse-action issues.</w:t>
      </w:r>
    </w:p>
    <w:p w14:paraId="4C88AB23" w14:textId="321A2A11" w:rsidR="008B4529" w:rsidRPr="008B4529" w:rsidRDefault="008B4529" w:rsidP="008B4529">
      <w:pPr>
        <w:pStyle w:val="ListParagraph"/>
        <w:numPr>
          <w:ilvl w:val="0"/>
          <w:numId w:val="1"/>
        </w:numPr>
        <w:spacing w:after="120"/>
        <w:rPr>
          <w:rFonts w:ascii="Aptos" w:hAnsi="Aptos"/>
          <w:b/>
        </w:rPr>
      </w:pPr>
      <w:r w:rsidRPr="008B4529">
        <w:rPr>
          <w:rFonts w:ascii="Aptos" w:eastAsiaTheme="majorEastAsia" w:hAnsi="Aptos" w:cstheme="majorBidi"/>
          <w:b/>
          <w:color w:val="0F4761" w:themeColor="accent1" w:themeShade="BF"/>
          <w:szCs w:val="40"/>
        </w:rPr>
        <w:t>11. CFD Closing-Package Document Requests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61"/>
        <w:gridCol w:w="3970"/>
        <w:gridCol w:w="3583"/>
      </w:tblGrid>
      <w:tr w:rsidR="008B4529" w:rsidRPr="008B4529" w14:paraId="34E32703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B79941" w14:textId="7546F877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Requested item</w:t>
            </w:r>
          </w:p>
        </w:tc>
        <w:tc>
          <w:tcPr>
            <w:tcW w:w="0" w:type="auto"/>
          </w:tcPr>
          <w:p w14:paraId="397F41A8" w14:textId="3EB6D3CF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w="0" w:type="auto"/>
          </w:tcPr>
          <w:p w14:paraId="6206AB36" w14:textId="06E8794E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 w:rsidRPr="008B4529">
              <w:rPr>
                <w:rFonts w:ascii="Aptos" w:hAnsi="Aptos"/>
                <w:b/>
                <w:sz w:val="18"/>
              </w:rPr>
              <w:t>Status</w:t>
            </w:r>
          </w:p>
        </w:tc>
      </w:tr>
      <w:tr w:rsidR="008B4529" w:rsidRPr="008B4529" w14:paraId="35910B49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5C6341" w14:textId="1F82554B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Affidavit of Related-Company Rent Payment History</w:t>
            </w:r>
          </w:p>
        </w:tc>
        <w:tc>
          <w:tcPr>
            <w:tcW w:w="0" w:type="auto"/>
          </w:tcPr>
          <w:p w14:paraId="38585AD4" w14:textId="660EDB50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Documents rent history with Buy Your Home, LLC and related-company limitation.</w:t>
            </w:r>
          </w:p>
        </w:tc>
        <w:tc>
          <w:tcPr>
            <w:tcW w:w="0" w:type="auto"/>
          </w:tcPr>
          <w:p w14:paraId="30A142EB" w14:textId="63006753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Closing deliverable if relied on.</w:t>
            </w:r>
          </w:p>
        </w:tc>
      </w:tr>
      <w:tr w:rsidR="008B4529" w:rsidRPr="008B4529" w14:paraId="4FA20727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6AC82A" w14:textId="2188BE23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Affidavit of Cash Reserves and Receivables Observation</w:t>
            </w:r>
          </w:p>
        </w:tc>
        <w:tc>
          <w:tcPr>
            <w:tcW w:w="0" w:type="auto"/>
          </w:tcPr>
          <w:p w14:paraId="538DA229" w14:textId="15F2F62C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Supports observed cash/reserve/receivable facts without overstating collection or transfer.</w:t>
            </w:r>
          </w:p>
        </w:tc>
        <w:tc>
          <w:tcPr>
            <w:tcW w:w="0" w:type="auto"/>
          </w:tcPr>
          <w:p w14:paraId="7B92F3DB" w14:textId="24DAA4F7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Closing deliverable or substitute proof needed.</w:t>
            </w:r>
          </w:p>
        </w:tc>
      </w:tr>
      <w:tr w:rsidR="008B4529" w:rsidRPr="008B4529" w14:paraId="07DB4730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F940E8" w14:textId="72F76D4C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Affidavit of Receipt Package Review and Acceptance</w:t>
            </w:r>
          </w:p>
        </w:tc>
        <w:tc>
          <w:tcPr>
            <w:tcW w:w="0" w:type="auto"/>
          </w:tcPr>
          <w:p w14:paraId="163BC0AD" w14:textId="1928E716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Documents business acceptance of paid receipts as gross-receipt support, not net-income proof.</w:t>
            </w:r>
          </w:p>
        </w:tc>
        <w:tc>
          <w:tcPr>
            <w:tcW w:w="0" w:type="auto"/>
          </w:tcPr>
          <w:p w14:paraId="0D5B6FC3" w14:textId="5135EED0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Closing deliverable if receipts are relied on.</w:t>
            </w:r>
          </w:p>
        </w:tc>
      </w:tr>
      <w:tr w:rsidR="008B4529" w:rsidRPr="008B4529" w14:paraId="23650394" w14:textId="77777777" w:rsidTr="008B452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46AA86" w14:textId="1D1787C4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Affidavit of Business Judgment Approval Direction</w:t>
            </w:r>
          </w:p>
        </w:tc>
        <w:tc>
          <w:tcPr>
            <w:tcW w:w="0" w:type="auto"/>
          </w:tcPr>
          <w:p w14:paraId="6C087EFD" w14:textId="2AC03AC1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Documents management decision to proceed despite nonstandard income proof and elevated back-end ratio.</w:t>
            </w:r>
          </w:p>
        </w:tc>
        <w:tc>
          <w:tcPr>
            <w:tcW w:w="0" w:type="auto"/>
          </w:tcPr>
          <w:p w14:paraId="1CFCA57A" w14:textId="2B9ABBB5" w:rsidR="008B4529" w:rsidRPr="008B4529" w:rsidRDefault="008B4529" w:rsidP="008B4529">
            <w:pPr>
              <w:pStyle w:val="ListParagraph"/>
              <w:numPr>
                <w:ilvl w:val="0"/>
                <w:numId w:val="1"/>
              </w:numPr>
              <w:spacing w:after="120"/>
              <w:ind w:left="0" w:firstLine="0"/>
              <w:rPr>
                <w:rFonts w:ascii="Aptos" w:hAnsi="Aptos"/>
                <w:b/>
                <w:sz w:val="18"/>
              </w:rPr>
            </w:pPr>
            <w:r>
              <w:rPr>
                <w:rFonts w:ascii="Aptos" w:hAnsi="Aptos"/>
                <w:b/>
                <w:sz w:val="18"/>
              </w:rPr>
              <w:t>Closing deliverable if management proceeds on this basis; update payment/authority values before final use.</w:t>
            </w:r>
          </w:p>
        </w:tc>
      </w:tr>
    </w:tbl>
    <w:p w14:paraId="36DD8D0C" w14:textId="77777777" w:rsidR="008B4529" w:rsidRDefault="008B4529" w:rsidP="008B4529">
      <w:pPr>
        <w:pStyle w:val="ListParagraph"/>
        <w:numPr>
          <w:ilvl w:val="0"/>
          <w:numId w:val="1"/>
        </w:numPr>
        <w:spacing w:after="120"/>
        <w:rPr>
          <w:rFonts w:ascii="Aptos" w:hAnsi="Aptos"/>
          <w:b/>
        </w:rPr>
      </w:pPr>
    </w:p>
    <w:p w14:paraId="1C449ECB" w14:textId="0F8C8A2C" w:rsidR="008B4529" w:rsidRPr="008B4529" w:rsidRDefault="008B4529" w:rsidP="008B4529">
      <w:pPr>
        <w:pStyle w:val="ListParagraph"/>
        <w:numPr>
          <w:ilvl w:val="0"/>
          <w:numId w:val="1"/>
        </w:numPr>
        <w:spacing w:after="120"/>
        <w:rPr>
          <w:rFonts w:ascii="Aptos" w:hAnsi="Aptos"/>
          <w:b/>
        </w:rPr>
      </w:pPr>
      <w:r w:rsidRPr="008B4529">
        <w:rPr>
          <w:rFonts w:ascii="Aptos" w:eastAsiaTheme="majorEastAsia" w:hAnsi="Aptos" w:cstheme="majorBidi"/>
          <w:b/>
          <w:color w:val="0F4761" w:themeColor="accent1" w:themeShade="BF"/>
          <w:szCs w:val="40"/>
        </w:rPr>
        <w:t>12. Legal/Compliance Review Items</w:t>
      </w:r>
    </w:p>
    <w:p w14:paraId="2CBE8797" w14:textId="2464669A" w:rsidR="008B4529" w:rsidRDefault="008B4529" w:rsidP="008B4529">
      <w:pPr>
        <w:pStyle w:val="ListParagraph"/>
        <w:numPr>
          <w:ilvl w:val="0"/>
          <w:numId w:val="1"/>
        </w:num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Confirm whether the transaction is subject to TILA/Regulation Z, Dodd-Frank ability-to-repay requirements, and/or any seller-financer exclusion.</w:t>
      </w:r>
    </w:p>
    <w:p w14:paraId="17872562" w14:textId="36B1D7C0" w:rsidR="008B4529" w:rsidRDefault="008B4529" w:rsidP="008B4529">
      <w:pPr>
        <w:spacing w:after="120"/>
        <w:ind w:left="36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Confirm North Carolina Contract for Deed requirements, recording/notice duties, title/adverse-condition handling, and disclosure package sufficiency.</w:t>
      </w:r>
    </w:p>
    <w:p w14:paraId="76B997B8" w14:textId="48FE6F52" w:rsidR="008B4529" w:rsidRDefault="008B4529" w:rsidP="008B4529">
      <w:pPr>
        <w:pStyle w:val="ListParagraph"/>
        <w:numPr>
          <w:ilvl w:val="0"/>
          <w:numId w:val="2"/>
        </w:num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Confirm seller, trust/trustee, manager, and exact signature authority for Sell Your Home, LLC / Investment Services LLC / project spreadsheet fields.</w:t>
      </w:r>
    </w:p>
    <w:p w14:paraId="02952925" w14:textId="2F582BB6" w:rsidR="008B4529" w:rsidRDefault="008B4529" w:rsidP="008B4529">
      <w:pPr>
        <w:spacing w:after="120"/>
        <w:ind w:left="36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Confirm whether adverse-action notice or similar documentation is needed if any term or approval condition is considered less favorable than requested.</w:t>
      </w:r>
    </w:p>
    <w:p w14:paraId="1CC6E482" w14:textId="1538FEA9" w:rsidR="008B4529" w:rsidRPr="008B4529" w:rsidRDefault="008B4529" w:rsidP="008B4529">
      <w:pPr>
        <w:pStyle w:val="ListParagraph"/>
        <w:numPr>
          <w:ilvl w:val="0"/>
          <w:numId w:val="2"/>
        </w:numPr>
        <w:spacing w:after="120"/>
        <w:rPr>
          <w:rFonts w:ascii="Aptos" w:hAnsi="Aptos"/>
          <w:b/>
        </w:rPr>
      </w:pPr>
      <w:r w:rsidRPr="008B4529">
        <w:rPr>
          <w:rFonts w:ascii="Aptos" w:eastAsiaTheme="majorEastAsia" w:hAnsi="Aptos" w:cstheme="majorBidi"/>
          <w:b/>
          <w:color w:val="0F4761" w:themeColor="accent1" w:themeShade="BF"/>
          <w:szCs w:val="40"/>
        </w:rPr>
        <w:t>13. Recommended Next Step</w:t>
      </w:r>
    </w:p>
    <w:p w14:paraId="0E8881BB" w14:textId="71BA037B" w:rsidR="008B4529" w:rsidRDefault="008B4529" w:rsidP="008B4529">
      <w:pPr>
        <w:pStyle w:val="ListParagraph"/>
        <w:numPr>
          <w:ilvl w:val="0"/>
          <w:numId w:val="2"/>
        </w:numPr>
        <w:spacing w:after="120"/>
        <w:rPr>
          <w:rFonts w:ascii="Aptos" w:hAnsi="Aptos"/>
          <w:sz w:val="20"/>
        </w:rPr>
      </w:pPr>
      <w:r w:rsidRPr="008B4529">
        <w:rPr>
          <w:rFonts w:ascii="Aptos" w:hAnsi="Aptos"/>
          <w:sz w:val="20"/>
        </w:rPr>
        <w:t>Proceed with preparation of the Contract for Deed closing package, including the listed affidavit/support deliverables. Before execution, obtain final funds proof or closing-accepted substitute documentation, confirm buyer legal names and signature roles, resolve manager/signature authority, and complete attorney/compliance review.</w:t>
      </w:r>
    </w:p>
    <w:p w14:paraId="7A28DEB1" w14:textId="77777777" w:rsidR="008B4529" w:rsidRPr="008B4529" w:rsidRDefault="008B4529" w:rsidP="008B4529">
      <w:pPr>
        <w:pStyle w:val="ListParagraph"/>
        <w:numPr>
          <w:ilvl w:val="0"/>
          <w:numId w:val="2"/>
        </w:numPr>
        <w:spacing w:after="120"/>
        <w:rPr>
          <w:rFonts w:ascii="Aptos" w:hAnsi="Aptos"/>
          <w:sz w:val="20"/>
        </w:rPr>
      </w:pPr>
    </w:p>
    <w:sectPr w:rsidR="008B4529" w:rsidRPr="008B4529" w:rsidSect="008B45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CF52" w14:textId="77777777" w:rsidR="002A59F8" w:rsidRDefault="002A59F8" w:rsidP="008B4529">
      <w:pPr>
        <w:spacing w:after="0" w:line="240" w:lineRule="auto"/>
      </w:pPr>
      <w:r>
        <w:separator/>
      </w:r>
    </w:p>
  </w:endnote>
  <w:endnote w:type="continuationSeparator" w:id="0">
    <w:p w14:paraId="2C93F725" w14:textId="77777777" w:rsidR="002A59F8" w:rsidRDefault="002A59F8" w:rsidP="008B4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19423" w14:textId="77777777" w:rsidR="008B4529" w:rsidRDefault="008B45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9B886" w14:textId="5B88B0A9" w:rsidR="008B4529" w:rsidRDefault="008B4529" w:rsidP="008B4529">
    <w:pPr>
      <w:pStyle w:val="Footer"/>
      <w:jc w:val="cen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</w:t>
    </w:r>
    <w:r>
      <w:fldChar w:fldCharType="end"/>
    </w:r>
    <w:r>
      <w:t xml:space="preserve"> of </w:t>
    </w:r>
    <w:fldSimple w:instr=" NUMPAGES  \* MERGEFORMAT ">
      <w:r>
        <w:rPr>
          <w:noProof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B7B67" w14:textId="77777777" w:rsidR="008B4529" w:rsidRDefault="008B45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F46B5" w14:textId="77777777" w:rsidR="002A59F8" w:rsidRDefault="002A59F8" w:rsidP="008B4529">
      <w:pPr>
        <w:spacing w:after="0" w:line="240" w:lineRule="auto"/>
      </w:pPr>
      <w:r>
        <w:separator/>
      </w:r>
    </w:p>
  </w:footnote>
  <w:footnote w:type="continuationSeparator" w:id="0">
    <w:p w14:paraId="0A784F89" w14:textId="77777777" w:rsidR="002A59F8" w:rsidRDefault="002A59F8" w:rsidP="008B4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4F626" w14:textId="77777777" w:rsidR="008B4529" w:rsidRDefault="008B45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D8371" w14:textId="77777777" w:rsidR="008B4529" w:rsidRDefault="008B45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BCC29" w14:textId="77777777" w:rsidR="008B4529" w:rsidRDefault="008B45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B41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52F82F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135490094">
    <w:abstractNumId w:val="0"/>
  </w:num>
  <w:num w:numId="2" w16cid:durableId="753282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29"/>
    <w:rsid w:val="001D36DC"/>
    <w:rsid w:val="00290872"/>
    <w:rsid w:val="002A59F8"/>
    <w:rsid w:val="00343366"/>
    <w:rsid w:val="006436F4"/>
    <w:rsid w:val="008B4529"/>
    <w:rsid w:val="00B83DF6"/>
    <w:rsid w:val="00D0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5481"/>
  <w15:chartTrackingRefBased/>
  <w15:docId w15:val="{4B3B1099-AA24-4CC5-9852-6E5289C6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5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4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529"/>
  </w:style>
  <w:style w:type="paragraph" w:styleId="Footer">
    <w:name w:val="footer"/>
    <w:basedOn w:val="Normal"/>
    <w:link w:val="FooterChar"/>
    <w:uiPriority w:val="99"/>
    <w:unhideWhenUsed/>
    <w:rsid w:val="008B4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1286</Words>
  <Characters>7333</Characters>
  <Application>Microsoft Office Word</Application>
  <DocSecurity>0</DocSecurity>
  <Lines>61</Lines>
  <Paragraphs>17</Paragraphs>
  <ScaleCrop>false</ScaleCrop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Will Buy Your Home</dc:creator>
  <cp:keywords/>
  <dc:description/>
  <cp:lastModifiedBy>Wes Will Buy Your Home</cp:lastModifiedBy>
  <cp:revision>1</cp:revision>
  <dcterms:created xsi:type="dcterms:W3CDTF">2026-06-12T00:59:00Z</dcterms:created>
  <dcterms:modified xsi:type="dcterms:W3CDTF">2026-06-12T01:00:00Z</dcterms:modified>
</cp:coreProperties>
</file>