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Cash Receipts Approval-Assumption Scenario for Ever Amarildo Cardoza Bolanos - 320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t>Prepared by</w:t>
            </w:r>
          </w:p>
        </w:tc>
        <w:tc>
          <w:tcPr>
            <w:tcW w:type="dxa" w:w="4680"/>
            <w:tcW w:w="7060" w:type="dxa"/>
            <w:vAlign w:val="center"/>
            <w:tcMar>
              <w:top w:w="80" w:type="dxa"/>
              <w:bottom w:w="80" w:type="dxa"/>
              <w:start w:w="120" w:type="dxa"/>
              <w:end w:w="120" w:type="dxa"/>
            </w:tcMar>
          </w:tcPr>
          <w:p>
            <w:r>
              <w:t>Investment Services, LLC</w:t>
            </w:r>
          </w:p>
        </w:tc>
      </w:tr>
      <w:tr>
        <w:tc>
          <w:tcPr>
            <w:tcW w:type="dxa" w:w="4680"/>
            <w:shd w:fill="F2F4F7"/>
            <w:tcW w:w="2300" w:type="dxa"/>
            <w:vAlign w:val="center"/>
            <w:tcMar>
              <w:top w:w="80" w:type="dxa"/>
              <w:bottom w:w="80" w:type="dxa"/>
              <w:start w:w="120" w:type="dxa"/>
              <w:end w:w="120" w:type="dxa"/>
            </w:tcMar>
          </w:tcPr>
          <w:p>
            <w:r>
              <w:t>Report date</w:t>
            </w:r>
          </w:p>
        </w:tc>
        <w:tc>
          <w:tcPr>
            <w:tcW w:type="dxa" w:w="4680"/>
            <w:tcW w:w="7060" w:type="dxa"/>
            <w:vAlign w:val="center"/>
            <w:tcMar>
              <w:top w:w="80" w:type="dxa"/>
              <w:bottom w:w="80" w:type="dxa"/>
              <w:start w:w="120" w:type="dxa"/>
              <w:end w:w="120" w:type="dxa"/>
            </w:tcMar>
          </w:tcPr>
          <w:p>
            <w:r>
              <w:t>June 6, 2026</w:t>
            </w:r>
          </w:p>
        </w:tc>
      </w:tr>
      <w:tr>
        <w:tc>
          <w:tcPr>
            <w:tcW w:type="dxa" w:w="4680"/>
            <w:shd w:fill="F2F4F7"/>
            <w:tcW w:w="2300" w:type="dxa"/>
            <w:vAlign w:val="center"/>
            <w:tcMar>
              <w:top w:w="80" w:type="dxa"/>
              <w:bottom w:w="80" w:type="dxa"/>
              <w:start w:w="120" w:type="dxa"/>
              <w:end w:w="120" w:type="dxa"/>
            </w:tcMar>
          </w:tcPr>
          <w:p>
            <w:r>
              <w:t>Subject buyer</w:t>
            </w:r>
          </w:p>
        </w:tc>
        <w:tc>
          <w:tcPr>
            <w:tcW w:type="dxa" w:w="4680"/>
            <w:tcW w:w="7060" w:type="dxa"/>
            <w:vAlign w:val="center"/>
            <w:tcMar>
              <w:top w:w="80" w:type="dxa"/>
              <w:bottom w:w="80" w:type="dxa"/>
              <w:start w:w="120" w:type="dxa"/>
              <w:end w:w="120" w:type="dxa"/>
            </w:tcMar>
          </w:tcPr>
          <w:p>
            <w:r>
              <w:t>Ever Amarildo Cardoza Bolanos</w:t>
            </w:r>
          </w:p>
        </w:tc>
      </w:tr>
      <w:tr>
        <w:tc>
          <w:tcPr>
            <w:tcW w:type="dxa" w:w="4680"/>
            <w:shd w:fill="F2F4F7"/>
            <w:tcW w:w="2300" w:type="dxa"/>
            <w:vAlign w:val="center"/>
            <w:tcMar>
              <w:top w:w="80" w:type="dxa"/>
              <w:bottom w:w="80" w:type="dxa"/>
              <w:start w:w="120" w:type="dxa"/>
              <w:end w:w="120" w:type="dxa"/>
            </w:tcMar>
          </w:tcPr>
          <w:p>
            <w:r>
              <w:t>Property</w:t>
            </w:r>
          </w:p>
        </w:tc>
        <w:tc>
          <w:tcPr>
            <w:tcW w:type="dxa" w:w="4680"/>
            <w:tcW w:w="7060" w:type="dxa"/>
            <w:vAlign w:val="center"/>
            <w:tcMar>
              <w:top w:w="80" w:type="dxa"/>
              <w:bottom w:w="80" w:type="dxa"/>
              <w:start w:w="120" w:type="dxa"/>
              <w:end w:w="120" w:type="dxa"/>
            </w:tcMar>
          </w:tcPr>
          <w:p>
            <w:r>
              <w:t>320 Rose Pl / Rose Place</w:t>
            </w:r>
          </w:p>
        </w:tc>
      </w:tr>
      <w:tr>
        <w:tc>
          <w:tcPr>
            <w:tcW w:type="dxa" w:w="4680"/>
            <w:shd w:fill="F2F4F7"/>
            <w:tcW w:w="2300" w:type="dxa"/>
            <w:vAlign w:val="center"/>
            <w:tcMar>
              <w:top w:w="80" w:type="dxa"/>
              <w:bottom w:w="80" w:type="dxa"/>
              <w:start w:w="120" w:type="dxa"/>
              <w:end w:w="120" w:type="dxa"/>
            </w:tcMar>
          </w:tcPr>
          <w:p>
            <w:r>
              <w:t>Purpose</w:t>
            </w:r>
          </w:p>
        </w:tc>
        <w:tc>
          <w:tcPr>
            <w:tcW w:type="dxa" w:w="4680"/>
            <w:tcW w:w="7060" w:type="dxa"/>
            <w:vAlign w:val="center"/>
            <w:tcMar>
              <w:top w:w="80" w:type="dxa"/>
              <w:bottom w:w="80" w:type="dxa"/>
              <w:start w:w="120" w:type="dxa"/>
              <w:end w:w="120" w:type="dxa"/>
            </w:tcMar>
          </w:tcPr>
          <w:p>
            <w:r>
              <w:t>Approval-assumption ability-to-repay scenario using verified off-account cash receipts</w:t>
            </w:r>
          </w:p>
        </w:tc>
      </w:tr>
      <w:tr>
        <w:tc>
          <w:tcPr>
            <w:tcW w:type="dxa" w:w="4680"/>
            <w:shd w:fill="F2F4F7"/>
            <w:tcW w:w="2300" w:type="dxa"/>
            <w:vAlign w:val="center"/>
            <w:tcMar>
              <w:top w:w="80" w:type="dxa"/>
              <w:bottom w:w="80" w:type="dxa"/>
              <w:start w:w="120" w:type="dxa"/>
              <w:end w:w="120" w:type="dxa"/>
            </w:tcMar>
          </w:tcPr>
          <w:p>
            <w:r>
              <w:t>Overall result</w:t>
            </w:r>
          </w:p>
        </w:tc>
        <w:tc>
          <w:tcPr>
            <w:tcW w:type="dxa" w:w="4680"/>
            <w:tcW w:w="7060" w:type="dxa"/>
            <w:vAlign w:val="center"/>
            <w:tcMar>
              <w:top w:w="80" w:type="dxa"/>
              <w:bottom w:w="80" w:type="dxa"/>
              <w:start w:w="120" w:type="dxa"/>
              <w:end w:w="120" w:type="dxa"/>
            </w:tcMar>
          </w:tcPr>
          <w:p>
            <w:r>
              <w:t>Conditional approval supportable under stated assumptions; not unconditional until receipt verification, P&amp;L/accounting support, funds proof, and compliance conditions are satisfied</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Executive Recommendation</w:t>
              <w:br/>
              <w:t>Under the stated approval-assumption scenario, Investment Services, LLC finds conditional approval supportable if Ever Amarildo Cardoza Bolanos provides credible 12-month customer receipts showing off-account cash receipts averaging $9,500/month, and those receipts are verified as real, additional to the business checking deposits, tied to completed customer work, and reconciled through a profit-and-loss statement or accountant/bookkeeper support. This approach treats the bank statements in their worst possible light by counting all business-account withdrawals as business expenses. The checking-account net increase is minimal, but the verified off-account receipts would support approximately $9,572.65/month of available income when added to the average bank-account net increase. Final approval should remain conditioned on receipt verification, net-income reconciliation, completed cash-reserve proof, final debt confirmation, and attorney/compliance review.</w:t>
            </w:r>
          </w:p>
        </w:tc>
      </w:tr>
    </w:tbl>
    <w:p>
      <w:pPr>
        <w:spacing w:before="0" w:after="40" w:line="264" w:lineRule="auto"/>
      </w:pPr>
    </w:p>
    <w:p>
      <w:pPr>
        <w:pStyle w:val="Heading1"/>
        <w:keepNext/>
        <w:spacing w:before="320" w:after="160"/>
      </w:pPr>
      <w:r>
        <w:rPr>
          <w:rFonts w:ascii="Calibri" w:hAnsi="Calibri"/>
          <w:b/>
          <w:i w:val="0"/>
          <w:color w:val="2E74B5"/>
          <w:sz w:val="32"/>
        </w:rPr>
        <w:t>What Changed In This Scenario Rerun</w:t>
      </w:r>
    </w:p>
    <w:p>
      <w:pPr>
        <w:pStyle w:val="ListBullet"/>
        <w:spacing w:after="140" w:line="280" w:lineRule="auto"/>
        <w:ind w:left="720" w:hanging="360"/>
      </w:pPr>
      <w:r>
        <w:rPr>
          <w:rFonts w:ascii="Calibri" w:hAnsi="Calibri"/>
          <w:b w:val="0"/>
          <w:i w:val="0"/>
          <w:color w:val="000000"/>
          <w:sz w:val="22"/>
        </w:rPr>
        <w:t>This version was prepared in approval-assumption mode to test whether verified off-account customer cash receipts averaging $9,500/month would support approval.</w:t>
      </w:r>
    </w:p>
    <w:p>
      <w:pPr>
        <w:pStyle w:val="ListBullet"/>
        <w:spacing w:after="140" w:line="280" w:lineRule="auto"/>
        <w:ind w:left="720" w:hanging="360"/>
      </w:pPr>
      <w:r>
        <w:rPr>
          <w:rFonts w:ascii="Calibri" w:hAnsi="Calibri"/>
          <w:b w:val="0"/>
          <w:i w:val="0"/>
          <w:color w:val="000000"/>
          <w:sz w:val="22"/>
        </w:rPr>
        <w:t>The scenario treats the bank statements in their worst possible light: all business-account withdrawals are treated as business expenses and not as personal income or owner draws.</w:t>
      </w:r>
    </w:p>
    <w:p>
      <w:pPr>
        <w:pStyle w:val="ListBullet"/>
        <w:spacing w:after="140" w:line="280" w:lineRule="auto"/>
        <w:ind w:left="720" w:hanging="360"/>
      </w:pPr>
      <w:r>
        <w:rPr>
          <w:rFonts w:ascii="Calibri" w:hAnsi="Calibri"/>
          <w:b w:val="0"/>
          <w:i w:val="0"/>
          <w:color w:val="000000"/>
          <w:sz w:val="22"/>
        </w:rPr>
        <w:t>The scenario then assumes that separate customer receipts, not deposited into the business checking account, are verified as real, additional cash receipts averaging $9,500/month for the last 12 months.</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Supported / Assumed Transaction Facts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Purchase price</w:t>
            </w:r>
          </w:p>
        </w:tc>
        <w:tc>
          <w:tcPr>
            <w:tcW w:type="dxa" w:w="4680"/>
            <w:tcW w:w="7060" w:type="dxa"/>
            <w:vAlign w:val="center"/>
            <w:tcMar>
              <w:top w:w="80" w:type="dxa"/>
              <w:bottom w:w="80" w:type="dxa"/>
              <w:start w:w="120" w:type="dxa"/>
              <w:end w:w="120" w:type="dxa"/>
            </w:tcMar>
          </w:tcPr>
          <w:p>
            <w:r>
              <w:t>$346,500 implied from a stated 6% down payment of $20,790.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Proposed monthly payment</w:t>
            </w:r>
          </w:p>
        </w:tc>
        <w:tc>
          <w:tcPr>
            <w:tcW w:type="dxa" w:w="4680"/>
            <w:tcW w:w="7060" w:type="dxa"/>
            <w:vAlign w:val="center"/>
            <w:tcMar>
              <w:top w:w="80" w:type="dxa"/>
              <w:bottom w:w="80" w:type="dxa"/>
              <w:start w:w="120" w:type="dxa"/>
              <w:end w:w="120" w:type="dxa"/>
            </w:tcMar>
          </w:tcPr>
          <w:p>
            <w: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t>Cash receipt assumption</w:t>
            </w:r>
          </w:p>
        </w:tc>
        <w:tc>
          <w:tcPr>
            <w:tcW w:type="dxa" w:w="4680"/>
            <w:tcW w:w="7060" w:type="dxa"/>
            <w:vAlign w:val="center"/>
            <w:tcMar>
              <w:top w:w="80" w:type="dxa"/>
              <w:bottom w:w="80" w:type="dxa"/>
              <w:start w:w="120" w:type="dxa"/>
              <w:end w:w="120" w:type="dxa"/>
            </w:tcMar>
          </w:tcPr>
          <w:p>
            <w:r>
              <w:t>Assumes verified customer receipts averaging $9,500/month for the last 12 months, not deposited into the business checking account and additional to bank deposits.</w:t>
            </w:r>
          </w:p>
        </w:tc>
      </w:tr>
      <w:tr>
        <w:tc>
          <w:tcPr>
            <w:tcW w:type="dxa" w:w="4680"/>
            <w:shd w:fill="F2F4F7"/>
            <w:tcW w:w="2300" w:type="dxa"/>
            <w:vAlign w:val="center"/>
            <w:tcMar>
              <w:top w:w="80" w:type="dxa"/>
              <w:bottom w:w="80" w:type="dxa"/>
              <w:start w:w="120" w:type="dxa"/>
              <w:end w:w="120" w:type="dxa"/>
            </w:tcMar>
          </w:tcPr>
          <w:p>
            <w:r>
              <w:t>Cash reserves affidavit</w:t>
            </w:r>
          </w:p>
        </w:tc>
        <w:tc>
          <w:tcPr>
            <w:tcW w:type="dxa" w:w="4680"/>
            <w:tcW w:w="7060" w:type="dxa"/>
            <w:vAlign w:val="center"/>
            <w:tcMar>
              <w:top w:w="80" w:type="dxa"/>
              <w:bottom w:w="80" w:type="dxa"/>
              <w:start w:w="120" w:type="dxa"/>
              <w:end w:w="120" w:type="dxa"/>
            </w:tcMar>
          </w:tcPr>
          <w:p>
            <w:r>
              <w:t>Draft affidavit states $45,000 cash was personally counted on or about June 5, 2026; amount appears sufficient for down payment and apparent reserves before closing costs if finalized.</w:t>
            </w:r>
          </w:p>
        </w:tc>
      </w:tr>
      <w:tr>
        <w:tc>
          <w:tcPr>
            <w:tcW w:type="dxa" w:w="4680"/>
            <w:shd w:fill="F2F4F7"/>
            <w:tcW w:w="2300" w:type="dxa"/>
            <w:vAlign w:val="center"/>
            <w:tcMar>
              <w:top w:w="80" w:type="dxa"/>
              <w:bottom w:w="80" w:type="dxa"/>
              <w:start w:w="120" w:type="dxa"/>
              <w:end w:w="120" w:type="dxa"/>
            </w:tcMar>
          </w:tcPr>
          <w:p>
            <w:r>
              <w:t>ID documents</w:t>
            </w:r>
          </w:p>
        </w:tc>
        <w:tc>
          <w:tcPr>
            <w:tcW w:type="dxa" w:w="4680"/>
            <w:tcW w:w="7060" w:type="dxa"/>
            <w:vAlign w:val="center"/>
            <w:tcMar>
              <w:top w:w="80" w:type="dxa"/>
              <w:bottom w:w="80" w:type="dxa"/>
              <w:start w:w="120" w:type="dxa"/>
              <w:end w:w="120" w:type="dxa"/>
            </w:tcMar>
          </w:tcPr>
          <w:p>
            <w:r>
              <w:t>Passport image shows Ever Amarildo Cardoza Bolanos; Maria passport image shows Maria Geraldina Sarmiento. Maria role still needs confirmation.</w:t>
            </w:r>
          </w:p>
        </w:tc>
      </w:tr>
      <w:tr>
        <w:tc>
          <w:tcPr>
            <w:tcW w:type="dxa" w:w="4680"/>
            <w:shd w:fill="F2F4F7"/>
            <w:tcW w:w="2300" w:type="dxa"/>
            <w:vAlign w:val="center"/>
            <w:tcMar>
              <w:top w:w="80" w:type="dxa"/>
              <w:bottom w:w="80" w:type="dxa"/>
              <w:start w:w="120" w:type="dxa"/>
              <w:end w:w="120" w:type="dxa"/>
            </w:tcMar>
          </w:tcPr>
          <w:p>
            <w:r>
              <w:t>Structure still unresolved</w:t>
            </w:r>
          </w:p>
        </w:tc>
        <w:tc>
          <w:tcPr>
            <w:tcW w:type="dxa" w:w="4680"/>
            <w:tcW w:w="7060" w:type="dxa"/>
            <w:vAlign w:val="center"/>
            <w:tcMar>
              <w:top w:w="80" w:type="dxa"/>
              <w:bottom w:w="80" w:type="dxa"/>
              <w:start w:w="120" w:type="dxa"/>
              <w:end w:w="120" w:type="dxa"/>
            </w:tcMar>
          </w:tcPr>
          <w:p>
            <w:r>
              <w:t>Meeting materials use mixed language about note/mortgage-style financing and deed-transfer-after-payoff structure; attorney review remains required.</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In this approval-assumption scenario, the bank-statement activity is treated conservatively: all business-account withdrawals are business expenses, producing only a minimal checking-account net increase. Separate verified customer cash receipts averaging $9,500/month are then treated as additional off-account business receipts available to the borrower after verification. This assumption supports the stated income only if the receipts are real, additional to bank deposits, tied to completed customer work, and reconciled through a profit-and-loss statement or accountant/bookkeeper support.</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Worst-Case Bank Statement Plus Cash Receipt Scenario</w:t>
            </w:r>
          </w:p>
        </w:tc>
      </w:tr>
      <w:tr>
        <w:tc>
          <w:tcPr>
            <w:tcW w:type="dxa" w:w="4680"/>
            <w:shd w:fill="F2F4F7"/>
            <w:tcW w:w="2300" w:type="dxa"/>
            <w:vAlign w:val="center"/>
            <w:tcMar>
              <w:top w:w="80" w:type="dxa"/>
              <w:bottom w:w="80" w:type="dxa"/>
              <w:start w:w="120" w:type="dxa"/>
              <w:end w:w="120" w:type="dxa"/>
            </w:tcMar>
          </w:tcPr>
          <w:p>
            <w:r>
              <w:t>Unique business statements reviewed</w:t>
            </w:r>
          </w:p>
        </w:tc>
        <w:tc>
          <w:tcPr>
            <w:tcW w:type="dxa" w:w="4680"/>
            <w:tcW w:w="7060" w:type="dxa"/>
            <w:vAlign w:val="center"/>
            <w:tcMar>
              <w:top w:w="80" w:type="dxa"/>
              <w:bottom w:w="80" w:type="dxa"/>
              <w:start w:w="120" w:type="dxa"/>
              <w:end w:w="120" w:type="dxa"/>
            </w:tcMar>
          </w:tcPr>
          <w:p>
            <w: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t>Business deposits/credits</w:t>
            </w:r>
          </w:p>
        </w:tc>
        <w:tc>
          <w:tcPr>
            <w:tcW w:type="dxa" w:w="4680"/>
            <w:tcW w:w="7060" w:type="dxa"/>
            <w:vAlign w:val="center"/>
            <w:tcMar>
              <w:top w:w="80" w:type="dxa"/>
              <w:bottom w:w="80" w:type="dxa"/>
              <w:start w:w="120" w:type="dxa"/>
              <w:end w:w="120" w:type="dxa"/>
            </w:tcMar>
          </w:tcPr>
          <w:p>
            <w:r>
              <w:t>$434,462.90 total; $27,153.93 average per month.</w:t>
            </w:r>
          </w:p>
        </w:tc>
      </w:tr>
      <w:tr>
        <w:tc>
          <w:tcPr>
            <w:tcW w:type="dxa" w:w="4680"/>
            <w:shd w:fill="F2F4F7"/>
            <w:tcW w:w="2300" w:type="dxa"/>
            <w:vAlign w:val="center"/>
            <w:tcMar>
              <w:top w:w="80" w:type="dxa"/>
              <w:bottom w:w="80" w:type="dxa"/>
              <w:start w:w="120" w:type="dxa"/>
              <w:end w:w="120" w:type="dxa"/>
            </w:tcMar>
          </w:tcPr>
          <w:p>
            <w:r>
              <w:t>Business withdrawals/debits</w:t>
            </w:r>
          </w:p>
        </w:tc>
        <w:tc>
          <w:tcPr>
            <w:tcW w:type="dxa" w:w="4680"/>
            <w:tcW w:w="7060" w:type="dxa"/>
            <w:vAlign w:val="center"/>
            <w:tcMar>
              <w:top w:w="80" w:type="dxa"/>
              <w:bottom w:w="80" w:type="dxa"/>
              <w:start w:w="120" w:type="dxa"/>
              <w:end w:w="120" w:type="dxa"/>
            </w:tcMar>
          </w:tcPr>
          <w:p>
            <w:r>
              <w:t>$433,300.52 total; $27,081.28 average per month, treated here as business expenses in the worst possible light.</w:t>
            </w:r>
          </w:p>
        </w:tc>
      </w:tr>
      <w:tr>
        <w:tc>
          <w:tcPr>
            <w:tcW w:type="dxa" w:w="4680"/>
            <w:shd w:fill="F2F4F7"/>
            <w:tcW w:w="2300" w:type="dxa"/>
            <w:vAlign w:val="center"/>
            <w:tcMar>
              <w:top w:w="80" w:type="dxa"/>
              <w:bottom w:w="80" w:type="dxa"/>
              <w:start w:w="120" w:type="dxa"/>
              <w:end w:w="120" w:type="dxa"/>
            </w:tcMar>
          </w:tcPr>
          <w:p>
            <w:r>
              <w:t>Average monthly net bank-account increase</w:t>
            </w:r>
          </w:p>
        </w:tc>
        <w:tc>
          <w:tcPr>
            <w:tcW w:type="dxa" w:w="4680"/>
            <w:tcW w:w="7060" w:type="dxa"/>
            <w:vAlign w:val="center"/>
            <w:tcMar>
              <w:top w:w="80" w:type="dxa"/>
              <w:bottom w:w="80" w:type="dxa"/>
              <w:start w:w="120" w:type="dxa"/>
              <w:end w:w="120" w:type="dxa"/>
            </w:tcMar>
          </w:tcPr>
          <w:p>
            <w:r>
              <w:t>$72.65 across the unique business statement set after treating all withdrawals as expenses.</w:t>
            </w:r>
          </w:p>
        </w:tc>
      </w:tr>
      <w:tr>
        <w:tc>
          <w:tcPr>
            <w:tcW w:type="dxa" w:w="4680"/>
            <w:shd w:fill="F2F4F7"/>
            <w:tcW w:w="2300" w:type="dxa"/>
            <w:vAlign w:val="center"/>
            <w:tcMar>
              <w:top w:w="80" w:type="dxa"/>
              <w:bottom w:w="80" w:type="dxa"/>
              <w:start w:w="120" w:type="dxa"/>
              <w:end w:w="120" w:type="dxa"/>
            </w:tcMar>
          </w:tcPr>
          <w:p>
            <w:r>
              <w:t>Assumed verified off-account customer cash receipts</w:t>
            </w:r>
          </w:p>
        </w:tc>
        <w:tc>
          <w:tcPr>
            <w:tcW w:type="dxa" w:w="4680"/>
            <w:tcW w:w="7060" w:type="dxa"/>
            <w:vAlign w:val="center"/>
            <w:tcMar>
              <w:top w:w="80" w:type="dxa"/>
              <w:bottom w:w="80" w:type="dxa"/>
              <w:start w:w="120" w:type="dxa"/>
              <w:end w:w="120" w:type="dxa"/>
            </w:tcMar>
          </w:tcPr>
          <w:p>
            <w:r>
              <w:t>$9,500/month average for the last 12 months, assumed verified and additional to bank deposits.</w:t>
            </w:r>
          </w:p>
        </w:tc>
      </w:tr>
      <w:tr>
        <w:tc>
          <w:tcPr>
            <w:tcW w:type="dxa" w:w="4680"/>
            <w:shd w:fill="F2F4F7"/>
            <w:tcW w:w="2300" w:type="dxa"/>
            <w:vAlign w:val="center"/>
            <w:tcMar>
              <w:top w:w="80" w:type="dxa"/>
              <w:bottom w:w="80" w:type="dxa"/>
              <w:start w:w="120" w:type="dxa"/>
              <w:end w:w="120" w:type="dxa"/>
            </w:tcMar>
          </w:tcPr>
          <w:p>
            <w:r>
              <w:t>Implied available income under scenario</w:t>
            </w:r>
          </w:p>
        </w:tc>
        <w:tc>
          <w:tcPr>
            <w:tcW w:type="dxa" w:w="4680"/>
            <w:tcW w:w="7060" w:type="dxa"/>
            <w:vAlign w:val="center"/>
            <w:tcMar>
              <w:top w:w="80" w:type="dxa"/>
              <w:bottom w:w="80" w:type="dxa"/>
              <w:start w:w="120" w:type="dxa"/>
              <w:end w:w="120" w:type="dxa"/>
            </w:tcMar>
          </w:tcPr>
          <w:p>
            <w:r>
              <w:t>$72.65 + $9,500 = $9,572.65/month before any further tax/legal adjustments.</w:t>
            </w:r>
          </w:p>
        </w:tc>
      </w:tr>
      <w:tr>
        <w:tc>
          <w:tcPr>
            <w:tcW w:type="dxa" w:w="4680"/>
            <w:shd w:fill="F2F4F7"/>
            <w:tcW w:w="2300" w:type="dxa"/>
            <w:vAlign w:val="center"/>
            <w:tcMar>
              <w:top w:w="80" w:type="dxa"/>
              <w:bottom w:w="80" w:type="dxa"/>
              <w:start w:w="120" w:type="dxa"/>
              <w:end w:w="120" w:type="dxa"/>
            </w:tcMar>
          </w:tcPr>
          <w:p>
            <w:r>
              <w:t>Cash reserves</w:t>
            </w:r>
          </w:p>
        </w:tc>
        <w:tc>
          <w:tcPr>
            <w:tcW w:type="dxa" w:w="4680"/>
            <w:tcW w:w="7060" w:type="dxa"/>
            <w:vAlign w:val="center"/>
            <w:tcMar>
              <w:top w:w="80" w:type="dxa"/>
              <w:bottom w:w="80" w:type="dxa"/>
              <w:start w:w="120" w:type="dxa"/>
              <w:end w:w="120" w:type="dxa"/>
            </w:tcMar>
          </w:tcPr>
          <w:p>
            <w:r>
              <w:t>$45,000 cash counted per draft affidavit if completed, signed, notarized, and accepted.</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Credit Report Debt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Estimated monthly debt payments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$2,162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Total debt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$86,790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Open auto-loan balances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$16,536; $19,112; $22,864; $28,278</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Credit-card balance shown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Ratio Test Under Cash Receipt Scenario</w:t>
            </w:r>
          </w:p>
        </w:tc>
      </w:tr>
      <w:tr>
        <w:tc>
          <w:tcPr>
            <w:tcW w:type="dxa" w:w="4680"/>
            <w:shd w:fill="F2F4F7"/>
            <w:tcW w:w="2300" w:type="dxa"/>
            <w:vAlign w:val="center"/>
            <w:tcMar>
              <w:top w:w="80" w:type="dxa"/>
              <w:bottom w:w="80" w:type="dxa"/>
              <w:start w:w="120" w:type="dxa"/>
              <w:end w:w="120" w:type="dxa"/>
            </w:tcMar>
          </w:tcPr>
          <w:p>
            <w:r>
              <w:t>Housing ratio using scenario income</w:t>
            </w:r>
          </w:p>
        </w:tc>
        <w:tc>
          <w:tcPr>
            <w:tcW w:type="dxa" w:w="4680"/>
            <w:tcW w:w="7060" w:type="dxa"/>
            <w:vAlign w:val="center"/>
            <w:tcMar>
              <w:top w:w="80" w:type="dxa"/>
              <w:bottom w:w="80" w:type="dxa"/>
              <w:start w:w="120" w:type="dxa"/>
              <w:end w:w="120" w:type="dxa"/>
            </w:tcMar>
          </w:tcPr>
          <w:p>
            <w:r>
              <w:t>$2,701 / $9,572.65 = 28.2%</w:t>
            </w:r>
          </w:p>
        </w:tc>
      </w:tr>
      <w:tr>
        <w:tc>
          <w:tcPr>
            <w:tcW w:type="dxa" w:w="4680"/>
            <w:shd w:fill="F2F4F7"/>
            <w:tcW w:w="2300" w:type="dxa"/>
            <w:vAlign w:val="center"/>
            <w:tcMar>
              <w:top w:w="80" w:type="dxa"/>
              <w:bottom w:w="80" w:type="dxa"/>
              <w:start w:w="120" w:type="dxa"/>
              <w:end w:w="120" w:type="dxa"/>
            </w:tcMar>
          </w:tcPr>
          <w:p>
            <w:r>
              <w:t>Back-end ratio using scenario income</w:t>
            </w:r>
          </w:p>
        </w:tc>
        <w:tc>
          <w:tcPr>
            <w:tcW w:type="dxa" w:w="4680"/>
            <w:tcW w:w="7060" w:type="dxa"/>
            <w:vAlign w:val="center"/>
            <w:tcMar>
              <w:top w:w="80" w:type="dxa"/>
              <w:bottom w:w="80" w:type="dxa"/>
              <w:start w:w="120" w:type="dxa"/>
              <w:end w:w="120" w:type="dxa"/>
            </w:tcMar>
          </w:tcPr>
          <w:p>
            <w:r>
              <w:t>($2,701 + $2,162) / $9,572.65 = 50.8%</w:t>
            </w:r>
          </w:p>
        </w:tc>
      </w:tr>
      <w:tr>
        <w:tc>
          <w:tcPr>
            <w:tcW w:type="dxa" w:w="4680"/>
            <w:shd w:fill="F2F4F7"/>
            <w:tcW w:w="2300" w:type="dxa"/>
            <w:vAlign w:val="center"/>
            <w:tcMar>
              <w:top w:w="80" w:type="dxa"/>
              <w:bottom w:w="80" w:type="dxa"/>
              <w:start w:w="120" w:type="dxa"/>
              <w:end w:w="120" w:type="dxa"/>
            </w:tcMar>
          </w:tcPr>
          <w:p>
            <w:r>
              <w:t>Underwriting interpretation</w:t>
            </w:r>
          </w:p>
        </w:tc>
        <w:tc>
          <w:tcPr>
            <w:tcW w:type="dxa" w:w="4680"/>
            <w:tcW w:w="7060" w:type="dxa"/>
            <w:vAlign w:val="center"/>
            <w:tcMar>
              <w:top w:w="80" w:type="dxa"/>
              <w:bottom w:w="80" w:type="dxa"/>
              <w:start w:w="120" w:type="dxa"/>
              <w:end w:w="120" w:type="dxa"/>
            </w:tcMar>
          </w:tcPr>
          <w:p>
            <w:r>
              <w:t>The housing ratio is acceptable under the scenario. The back-end ratio remains high but may be supportable with strong compensating factors: verified off-account receipts, clean credit, timely rent history, cash reserves, and final debt confirmation.</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cash-reserves affidavit states that $45,000 cash was personally counted on or about June 5, 2026. If completed, signed, notarized, and accepted by counsel/closing review, that amount appears sufficient to cover the $20,790 down payment and leave apparent reserves before closing costs. This cash-reserve evidence is separate from the assumed $9,500/month off-account customer receipts.</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Conditional Approval Supportable Under Stated Assumptions</w:t>
              <w:br/>
              <w:t>If Ever Amarildo Cardoza Bolanos provides verified customer cash receipts averaging $9,500/month for the last 12 months, and those receipts are proven to be real, additional to bank deposits, tied to completed work, and reconciled through a profit-and-loss statement or accountant/bookkeeper support, then conditional approval is supportable under the stated assumptions. This conclusion treats all business-account withdrawals as expenses and relies on off-account cash receipts to support borrower-level income. This is not an unconditional final approval. If the receipts are not proven or cannot be reconciled to net income, gross deposits and unverified cash receipts should not be used as qualifying income, and the prior do-not-approve result remains appropriate.</w:t>
            </w:r>
          </w:p>
        </w:tc>
      </w:tr>
    </w:tbl>
    <w:p>
      <w:pPr>
        <w:spacing w:before="0" w:after="40" w:line="264" w:lineRule="auto"/>
      </w:pPr>
    </w:p>
    <w:p>
      <w:pPr>
        <w:pStyle w:val="Heading1"/>
        <w:keepNext/>
        <w:spacing w:before="320" w:after="160"/>
      </w:pPr>
      <w:r>
        <w:rPr>
          <w:rFonts w:ascii="Calibri" w:hAnsi="Calibri"/>
          <w:b/>
          <w:i w:val="0"/>
          <w:color w:val="2E74B5"/>
          <w:sz w:val="32"/>
        </w:rPr>
        <w:t>Conditions Required Before Final Approval</w:t>
      </w:r>
    </w:p>
    <w:p>
      <w:pPr>
        <w:pStyle w:val="ListNumber"/>
        <w:spacing w:after="140" w:line="280" w:lineRule="auto"/>
        <w:ind w:left="720" w:hanging="360"/>
      </w:pPr>
      <w:r>
        <w:rPr>
          <w:rFonts w:ascii="Calibri" w:hAnsi="Calibri"/>
          <w:b w:val="0"/>
          <w:i w:val="0"/>
          <w:color w:val="000000"/>
          <w:sz w:val="22"/>
        </w:rPr>
        <w:t>Confirm final legal name for each buyer or obligor. Passport image supports Ever Amarildo Cardoza Bolanos; Zillow materials show Ever Amarildo Cardoza.</w:t>
      </w:r>
    </w:p>
    <w:p>
      <w:pPr>
        <w:pStyle w:val="ListNumber"/>
        <w:spacing w:after="140" w:line="280" w:lineRule="auto"/>
        <w:ind w:left="720" w:hanging="360"/>
      </w:pPr>
      <w:r>
        <w:rPr>
          <w:rFonts w:ascii="Calibri" w:hAnsi="Calibri"/>
          <w:b w:val="0"/>
          <w:i w:val="0"/>
          <w:color w:val="000000"/>
          <w:sz w:val="22"/>
        </w:rPr>
        <w:t>Current 2026 personal bank statements through the application or closing-review month.</w:t>
      </w:r>
    </w:p>
    <w:p>
      <w:pPr>
        <w:pStyle w:val="ListNumber"/>
        <w:spacing w:after="140" w:line="280" w:lineRule="auto"/>
        <w:ind w:left="720" w:hanging="360"/>
      </w:pPr>
      <w:r>
        <w:rPr>
          <w:rFonts w:ascii="Calibri" w:hAnsi="Calibri"/>
          <w:b w:val="0"/>
          <w:i w:val="0"/>
          <w:color w:val="000000"/>
          <w:sz w:val="22"/>
        </w:rPr>
        <w:t>Twelve-month customer receipt package showing off-account cash receipts averaging at least $9,500/month, with customer names, dates, job descriptions, amounts, and proof the work was performed.</w:t>
      </w:r>
    </w:p>
    <w:p>
      <w:pPr>
        <w:pStyle w:val="ListNumber"/>
        <w:spacing w:after="140" w:line="280" w:lineRule="auto"/>
        <w:ind w:left="720" w:hanging="360"/>
      </w:pPr>
      <w:r>
        <w:rPr>
          <w:rFonts w:ascii="Calibri" w:hAnsi="Calibri"/>
          <w:b w:val="0"/>
          <w:i w:val="0"/>
          <w:color w:val="000000"/>
          <w:sz w:val="22"/>
        </w:rPr>
        <w:t>Profit-and-loss statement, accountant/bookkeeper confirmation, or comparable reconciliation showing the off-account cash receipts are additional to bank deposits and available as borrower-level net income after expenses.</w:t>
      </w:r>
    </w:p>
    <w:p>
      <w:pPr>
        <w:pStyle w:val="ListNumber"/>
        <w:spacing w:after="140" w:line="280" w:lineRule="auto"/>
        <w:ind w:left="720" w:hanging="360"/>
      </w:pPr>
      <w:r>
        <w:rPr>
          <w:rFonts w:ascii="Calibri" w:hAnsi="Calibri"/>
          <w:b w:val="0"/>
          <w:i w:val="0"/>
          <w:color w:val="000000"/>
          <w:sz w:val="22"/>
        </w:rPr>
        <w:t>Explanation of why the cash receipts were not deposited into the business checking account and how any cash-paid business expenses were tracked.</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Completed signed/notarized cash-reserves affidavit or other acceptable 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final approval should be documented with a fresh ability-to-repay worksheet using verified off-account cash receipts, verified net income, final debt obligations, completed cash-reserve proof,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Sell Your Home review and attorney/compliance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A5A5A"/>
        <w:sz w:val="17"/>
      </w:rPr>
    </w:r>
    <w:r>
      <w:rPr>
        <w:color w:val="595959"/>
        <w:sz w:val="18"/>
      </w:rPr>
    </w:r>
    <w:r/>
    <w:r>
      <w:rPr>
        <w:color w:val="595959"/>
        <w:sz w:val="18"/>
      </w:rPr>
    </w:r>
    <w: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26-06-06 320 Rose Ever Amarildo Cardoza Bolanos - Creditworthiness Evaluation Report - Cash Receipts Assumption v6</dc:title>
  <dc:subject>Approval-assumption scenario using verified off-account cash receipts</dc:subject>
  <dc:creator>Investment Services, LLC</dc:creator>
  <cp:keywords/>
  <dc:description>Prepared by Investment Services, LLC for Sell Your Home review. Approval-assumption mode; English only.</dc:description>
  <cp:lastModifiedBy>Investment Services, LLC</cp:lastModifiedBy>
  <cp:revision>1</cp:revision>
  <dcterms:created xsi:type="dcterms:W3CDTF">2013-12-23T23:15:00Z</dcterms:created>
  <dcterms:modified xsi:type="dcterms:W3CDTF">2013-12-23T23:15:00Z</dcterms:modified>
  <cp:category/>
</cp:coreProperties>
</file>