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proofErr w:type="gramStart"/>
      <w:proofErr w:type="gramEnd"/>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proofErr w:type="gramStart"/>
      <w:proofErr w:type="gramEnd"/>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proofErr w:type="gramStart"/>
      <w:proofErr w:type="gramEnd"/>
      <w:r>
        <w:rPr>
          <w:strike/>
        </w:rPr>
        <w:t>Heritage IRA FBO Jeanette W. Hollinger Roth IRA #61077178;</w:t>
      </w:r>
    </w:p>
    <w:p>
      <w:r>
        <w:rPr>
          <w:b/>
          <w:color w:val="008000"/>
        </w:rPr>
        <w:t xml:space="preserve">Investment Services LLC member(s): </w:t>
      </w:r>
      <w:r>
        <w:rPr>
          <w:color w:val="008000"/>
        </w:rPr>
        <w:t>[UNCONFIRMED - confirm current Member(s), ownership percentages or units, contributions, and whether any retirement-account ownership applies.]</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proofErr w:type="gramStart"/>
      <w:proofErr w:type="gramEnd"/>
      <w:r>
        <w:t xml:space="preserve">This Section provides a brief summary of each Article in the Operating Agreement for </w:t>
      </w:r>
      <w:r>
        <w:rPr>
          <w:strike/>
        </w:rPr>
        <w:t>Sell Your Home, LLC</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proofErr w:type="gramStart"/>
      <w:proofErr w:type="gramEnd"/>
      <w:proofErr w:type="gramStart"/>
      <w:proofErr w:type="gramEnd"/>
      <w:r>
        <w:t xml:space="preserve">Manager(s) – Number and Tenure. The Company will start with one Manager, Jessica Santacruz[UNCONFIRMED Manager(s)], as named in the Articles of Organization. </w:t>
      </w:r>
      <w:r>
        <w:rPr>
          <w:strike/>
        </w:rPr>
        <w:t>She will serve until the first annual meeting or until she resigns or is removed.</w:t>
      </w:r>
      <w:r>
        <w:rPr>
          <w:color w:val="008000"/>
        </w:rPr>
        <w:t>The Manager(s) will serve until the first annual meeting or until resignation or removal.</w:t>
      </w:r>
      <w:r>
        <w:t xml:space="preserve">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r>
        <w:rPr>
          <w:i/>
          <w:color w:val="008000"/>
        </w:rPr>
        <w:t>INVESTMENT SERVICES V01 TAX REVIEW: tax classification is [UNCONFIRMED]; do not assume BYH S-corp treatment or SYH retirement-account pass-through language without CPA/attorney review.</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r>
        <w:rPr>
          <w:i/>
          <w:color w:val="008000"/>
        </w:rPr>
        <w:t>INVESTMENT SERVICES V01 RETIREMENT REVIEW: applicability of IRA/ESA/HSA prohibited-transaction provisions is [UNCONFIRMED] for Investment Services.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r>
        <w:rPr>
          <w:i/>
          <w:color w:val="008000"/>
        </w:rPr>
        <w:t>INVESTMENT SERVICES V01 RETIREMENT/TAX REVIEW: UBTI/UDFI language requires Investment Services-specific ownership and tax review.</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r>
        <w:rPr>
          <w:i/>
          <w:color w:val="008000"/>
        </w:rPr>
        <w:t>INVESTMENT SERVICES V01 RETIREMENT REVIEW: RMD language requires confirmation of whether retirement-account members exist.</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r>
        <w:rPr>
          <w:i/>
          <w:color w:val="008000"/>
        </w:rPr>
        <w:t>INVESTMENT SERVICES V01 CERTIFICATION NOTE: replace certification/signature blocks with Investment Services-specific Member(s), Manager(s), signer titles, and effective date after confirmation.</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r>
        <w:rPr>
          <w:i/>
          <w:color w:val="008000"/>
        </w:rPr>
        <w:t>INVESTMENT SERVICES V01 EXHIBIT A NOTE: replace Exhibit A with clean Investment Services member, ownership, unit/percentage, and contribution information after confirmation.</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