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 xml:space="preserve">retirement, resignation, expulsion, bankruptcy or dissolution of a </w:t>
      </w:r>
      <w:proofErr w:type="gramStart"/>
      <w:r w:rsidRPr="006B2013">
        <w:rPr>
          <w:sz w:val="22"/>
        </w:rPr>
        <w:t>Member</w:t>
      </w:r>
      <w:proofErr w:type="gramEnd"/>
      <w:r w:rsidRPr="006B2013">
        <w:rPr>
          <w:sz w:val="22"/>
        </w:rPr>
        <w:t xml:space="preserve"> or the occurrence of any other event which terminates the continued membership of a</w:t>
      </w:r>
      <w:r w:rsidR="00562F0C" w:rsidRPr="006B2013">
        <w:rPr>
          <w:sz w:val="22"/>
        </w:rPr>
        <w:t xml:space="preserve"> </w:t>
      </w:r>
      <w:r w:rsidRPr="006B2013">
        <w:rPr>
          <w:sz w:val="22"/>
        </w:rPr>
        <w:t xml:space="preserve">Member in the </w:t>
      </w:r>
      <w:proofErr w:type="gramStart"/>
      <w:r w:rsidRPr="006B2013">
        <w:rPr>
          <w:sz w:val="22"/>
        </w:rPr>
        <w:t>Company;</w:t>
      </w:r>
      <w:proofErr w:type="gramEnd"/>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adjudicated incapacity of an individual </w:t>
      </w:r>
      <w:proofErr w:type="gramStart"/>
      <w:r w:rsidRPr="006B2013">
        <w:rPr>
          <w:sz w:val="22"/>
        </w:rPr>
        <w:t>Member;</w:t>
      </w:r>
      <w:proofErr w:type="gramEnd"/>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Company’s </w:t>
      </w:r>
      <w:proofErr w:type="gramStart"/>
      <w:r w:rsidRPr="006B2013">
        <w:rPr>
          <w:sz w:val="22"/>
        </w:rPr>
        <w:t>bankruptcy;</w:t>
      </w:r>
      <w:proofErr w:type="gramEnd"/>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unanimous decision of the Members to dissolve the </w:t>
      </w:r>
      <w:proofErr w:type="gramStart"/>
      <w:r w:rsidRPr="006B2013">
        <w:rPr>
          <w:sz w:val="22"/>
        </w:rPr>
        <w:t>Company;</w:t>
      </w:r>
      <w:proofErr w:type="gramEnd"/>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cessation to exist as a legal entity of the sole remaining </w:t>
      </w:r>
      <w:proofErr w:type="gramStart"/>
      <w:r w:rsidRPr="006B2013">
        <w:rPr>
          <w:sz w:val="22"/>
        </w:rPr>
        <w:t>Member;</w:t>
      </w:r>
      <w:proofErr w:type="gramEnd"/>
    </w:p>
    <w:p w14:paraId="6AA4CA93" w14:textId="54B9508E" w:rsidR="001F6CD0" w:rsidRPr="006B2013" w:rsidRDefault="00E4676D" w:rsidP="007A3BE0">
      <w:pPr>
        <w:pStyle w:val="Heading3"/>
        <w:keepNext w:val="0"/>
        <w:keepLines w:val="0"/>
        <w:widowControl w:val="0"/>
        <w:numPr>
          <w:ilvl w:val="2"/>
          <w:numId w:val="10"/>
        </w:numPr>
        <w:rPr>
          <w:sz w:val="22"/>
        </w:rPr>
      </w:pPr>
      <w:proofErr w:type="gramStart"/>
      <w:r w:rsidRPr="006B2013">
        <w:rPr>
          <w:color w:val="0070C0"/>
          <w:sz w:val="22"/>
        </w:rPr>
        <w:t>it</w:t>
      </w:r>
      <w:proofErr w:type="gramEnd"/>
      <w:r w:rsidRPr="006B2013">
        <w:rPr>
          <w:color w:val="0070C0"/>
          <w:sz w:val="22"/>
        </w:rPr>
        <w:t xml:space="preserve">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 xml:space="preserve">The Company will dissolve if required by North Carolina law, through automatic </w:t>
      </w:r>
      <w:r w:rsidRPr="006B2013">
        <w:rPr>
          <w:color w:val="0070C0"/>
          <w:sz w:val="22"/>
        </w:rPr>
        <w:lastRenderedPageBreak/>
        <w:t>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Fifth, any remaining assets are distributed to Members based on their percentage 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