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pPr>
        <w:widowControl w:val="0"/>
        <w:jc w:val="center"/>
        <w:rPr>
          <w:b/>
          <w:bCs/>
        </w:rPr>
      </w:pPr>
      <w:r>
        <w:rPr>
          <w:color w:val="C00000"/>
        </w:rPr>
        <w:t xml:space="preserve">DRAFTING ASSUMPTIONS FOR BUY YOUR HOME, LLC V2 TARGETED REDLINE: This version favors word-level replacements over paragraph-level replacement. It assumes Buy Your Home, LLC is a North Carolina single-member LLC, Browning Family Trust is the beneficiary/beneficial ownership reference, Wesley Dale Browning is Manager, and the Company has elected or intends to elect S corporation tax status.</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Pr>
          <w:b/>
          <w:bCs/>
          <w:strike w:val="true"/>
        </w:rPr>
        <w:t xml:space="preserve">SELL YOUR HOME, LLC</w:t>
      </w:r>
      <w:r>
        <w:rPr>
          <w:b/>
          <w:bCs/>
          <w:color w:val="C00000"/>
        </w:rPr>
        <w:t xml:space="preserve"> BUY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strike w:val="true"/>
        </w:rPr>
        <w:t xml:space="preserve">Quest Trust Company FBO Wesley Dale Browning HSA #3417971 is being replaced by </w:t>
      </w:r>
    </w:p>
    <w:p>
      <w:pPr>
        <w:widowControl w:val="0"/>
        <w:spacing w:after="0"/>
        <w:jc w:val="both"/>
        <w:rPr>
          <w:sz w:val="22"/>
          <w:szCs w:val="20"/>
        </w:rPr>
      </w:pPr>
      <w:r>
        <w:rPr>
          <w:color w:val="C00000"/>
        </w:rPr>
        <w:t xml:space="preserve">BYH V2 NOTE: This retirement-account member substitution is inapplicable. Use Browning Family Trust/member-beneficiary language after confirming the exact trust role.</w:t>
      </w:r>
    </w:p>
    <w:p w14:paraId="27145D45" w14:textId="11B693CA" w:rsidR="00E00E5D" w:rsidRPr="00CC6850" w:rsidRDefault="00791C6B" w:rsidP="00CC6850">
      <w:pPr>
        <w:widowControl w:val="0"/>
        <w:spacing w:after="0"/>
        <w:ind w:left="576"/>
        <w:jc w:val="both"/>
        <w:rPr>
          <w:sz w:val="22"/>
          <w:szCs w:val="20"/>
        </w:rPr>
      </w:pPr>
      <w:r w:rsidRPr="00CC6850">
        <w:rPr>
          <w:sz w:val="22"/>
          <w:szCs w:val="20"/>
          <w:strike w:val="true"/>
        </w:rPr>
        <w:t xml:space="preserve">Heritage IRA FBO Wesley Dale Browning HSA </w:t>
      </w:r>
      <w:proofErr w:type="gramStart"/>
      <w:r w:rsidRPr="00CC6850">
        <w:rPr>
          <w:b/>
          <w:bCs/>
          <w:sz w:val="22"/>
          <w:szCs w:val="20"/>
          <w:strike w:val="true"/>
        </w:rPr>
        <w:t>#</w:t>
      </w:r>
      <w:r w:rsidR="00A536A4" w:rsidRPr="00CC6850">
        <w:rPr>
          <w:b/>
          <w:bCs/>
          <w:sz w:val="22"/>
          <w:szCs w:val="20"/>
          <w:strike w:val="true"/>
        </w:rPr>
        <w:t>99169956</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V2 NOTE: This retirement-account member substitution is inapplicable. Use Browning Family Trust/member-beneficiary language after confirming the exact trust role.</w:t>
      </w:r>
    </w:p>
    <w:p w14:paraId="2114D080" w14:textId="77777777" w:rsidR="00E00E5D" w:rsidRPr="00CC6850" w:rsidRDefault="00791C6B" w:rsidP="00CC6850">
      <w:pPr>
        <w:widowControl w:val="0"/>
        <w:spacing w:after="0"/>
        <w:jc w:val="both"/>
        <w:rPr>
          <w:sz w:val="22"/>
          <w:szCs w:val="20"/>
        </w:rPr>
      </w:pPr>
      <w:r w:rsidRPr="00CC6850">
        <w:rPr>
          <w:sz w:val="22"/>
          <w:szCs w:val="20"/>
          <w:strike w:val="true"/>
        </w:rPr>
        <w:t>Quest Trust Company FBO Wesley Dale Browning Roth IRA #3417921 is being replaced by</w:t>
      </w:r>
    </w:p>
    <w:p>
      <w:pPr>
        <w:widowControl w:val="0"/>
        <w:spacing w:after="0"/>
        <w:jc w:val="both"/>
        <w:rPr>
          <w:sz w:val="22"/>
          <w:szCs w:val="20"/>
        </w:rPr>
      </w:pPr>
      <w:r>
        <w:rPr>
          <w:color w:val="C00000"/>
        </w:rPr>
        <w:t xml:space="preserve">BYH V2 NOTE: This retirement-account member substitution is inapplicable. Use Browning Family Trust/member-beneficiary language after confirming the exact trust role.</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strike w:val="true"/>
        </w:rPr>
        <w:t xml:space="preserve">Heritage IRA FBO Wesley Dale Browning Roth IRA </w:t>
      </w:r>
      <w:proofErr w:type="gramStart"/>
      <w:r w:rsidRPr="00CC6850">
        <w:rPr>
          <w:sz w:val="22"/>
          <w:szCs w:val="20"/>
          <w:strike w:val="true"/>
        </w:rPr>
        <w:t>#</w:t>
      </w:r>
      <w:r w:rsidR="0037362C" w:rsidRPr="00CC6850">
        <w:rPr>
          <w:b/>
          <w:bCs/>
          <w:sz w:val="22"/>
          <w:u w:val="single"/>
          <w:strike w:val="true"/>
        </w:rPr>
        <w:t>8870274</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V2 NOTE: This retirement-account member substitution is inapplicable. Use Browning Family Trust/member-beneficiary language after confirming the exact trust role.</w:t>
      </w:r>
    </w:p>
    <w:bookmarkEnd w:id="0"/>
    <w:p w14:paraId="7B0ACB72" w14:textId="6CEB0428" w:rsidR="00707038" w:rsidRPr="00CC6850" w:rsidRDefault="00791C6B" w:rsidP="00CC6850">
      <w:pPr>
        <w:widowControl w:val="0"/>
        <w:spacing w:after="0"/>
        <w:jc w:val="both"/>
        <w:rPr>
          <w:sz w:val="22"/>
          <w:szCs w:val="20"/>
        </w:rPr>
      </w:pPr>
      <w:r w:rsidRPr="00CC6850">
        <w:rPr>
          <w:sz w:val="22"/>
          <w:szCs w:val="20"/>
          <w:strike w:val="true"/>
        </w:rPr>
        <w:t>Quest Trust Company FBO Jeanette W.</w:t>
      </w:r>
      <w:r w:rsidR="00D409B3" w:rsidRPr="00CC6850">
        <w:rPr>
          <w:sz w:val="22"/>
          <w:szCs w:val="20"/>
          <w:strike w:val="true"/>
        </w:rPr>
        <w:t xml:space="preserve"> Hollinger Roth IRA</w:t>
      </w:r>
      <w:r w:rsidR="0055271F" w:rsidRPr="00CC6850">
        <w:rPr>
          <w:sz w:val="22"/>
          <w:szCs w:val="20"/>
          <w:strike w:val="true"/>
        </w:rPr>
        <w:t xml:space="preserve"> </w:t>
      </w:r>
      <w:r w:rsidR="00D409B3" w:rsidRPr="00CC6850">
        <w:rPr>
          <w:sz w:val="22"/>
          <w:szCs w:val="20"/>
          <w:strike w:val="true"/>
        </w:rPr>
        <w:t>#3419521</w:t>
      </w:r>
      <w:r w:rsidR="00707038" w:rsidRPr="00CC6850">
        <w:rPr>
          <w:sz w:val="22"/>
          <w:szCs w:val="20"/>
          <w:strike w:val="true"/>
        </w:rPr>
        <w:t xml:space="preserve"> is being replaced by</w:t>
      </w:r>
    </w:p>
    <w:p>
      <w:pPr>
        <w:widowControl w:val="0"/>
        <w:spacing w:after="0"/>
        <w:jc w:val="both"/>
        <w:rPr>
          <w:sz w:val="22"/>
          <w:szCs w:val="20"/>
        </w:rPr>
      </w:pPr>
      <w:r>
        <w:rPr>
          <w:color w:val="C00000"/>
        </w:rPr>
        <w:t xml:space="preserve">BYH V2 NOTE: This retirement-account member substitution is inapplicable. Use Browning Family Trust/member-beneficiary language after confirming the exact trust role.</w:t>
      </w:r>
    </w:p>
    <w:p w14:paraId="6FA99257" w14:textId="00D2767B" w:rsidR="00707038" w:rsidRPr="00CC6850" w:rsidRDefault="00707038" w:rsidP="00CC6850">
      <w:pPr>
        <w:widowControl w:val="0"/>
        <w:spacing w:after="0"/>
        <w:ind w:left="576"/>
        <w:jc w:val="both"/>
        <w:rPr>
          <w:sz w:val="22"/>
          <w:szCs w:val="20"/>
        </w:rPr>
      </w:pPr>
      <w:r w:rsidRPr="00CC6850">
        <w:rPr>
          <w:sz w:val="22"/>
          <w:szCs w:val="20"/>
          <w:strike w:val="true"/>
        </w:rPr>
        <w:t xml:space="preserve">Heritage IRA FBO </w:t>
      </w:r>
      <w:r w:rsidR="00147627" w:rsidRPr="00CC6850">
        <w:rPr>
          <w:sz w:val="22"/>
          <w:szCs w:val="20"/>
          <w:strike w:val="true"/>
        </w:rPr>
        <w:t>Jeanette W. Hollinger</w:t>
      </w:r>
      <w:r w:rsidRPr="00CC6850">
        <w:rPr>
          <w:sz w:val="22"/>
          <w:szCs w:val="20"/>
          <w:strike w:val="true"/>
        </w:rPr>
        <w:t xml:space="preserve"> Roth IRA </w:t>
      </w:r>
      <w:proofErr w:type="gramStart"/>
      <w:r w:rsidRPr="00CC6850">
        <w:rPr>
          <w:sz w:val="22"/>
          <w:szCs w:val="20"/>
          <w:strike w:val="true"/>
        </w:rPr>
        <w:t>#</w:t>
      </w:r>
      <w:r w:rsidR="0038070B" w:rsidRPr="00CC6850">
        <w:rPr>
          <w:b/>
          <w:bCs/>
          <w:sz w:val="22"/>
          <w:u w:val="single"/>
          <w:strike w:val="true"/>
        </w:rPr>
        <w:t>61077178</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V2 NOTE: This retirement-account member substitution is inapplicable. Use Browning Family Trust/member-beneficiary language after confirming the exact trust role.</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 xml:space="preserve">greements hereinafter set forth and for other good and valuable consideration, the receipt and adequacy of which are hereby acknowledged, the parties hereto agree to this Amended and Restated Operating Agreement of </w:t>
      </w:r>
      <w:r>
        <w:rPr>
          <w:strike w:val="true"/>
        </w:rPr>
        <w:t xml:space="preserve">Sell Your Home, LLC</w:t>
      </w:r>
      <w:r>
        <w:rPr>
          <w:color w:val="C00000"/>
        </w:rPr>
        <w:t xml:space="preserve"> Buy Your Home, LLC</w:t>
      </w:r>
      <w:r>
        <w:t xml:space="preserve">.</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Pr>
          <w:szCs w:val="24"/>
        </w:rPr>
        <w:t xml:space="preserve"> of each Article in the Operating Agreement for </w:t>
      </w:r>
      <w:r>
        <w:rPr>
          <w:szCs w:val="24"/>
          <w:strike w:val="true"/>
        </w:rPr>
        <w:t xml:space="preserve">Sell Your Home, LLC</w:t>
      </w:r>
      <w:r>
        <w:rPr>
          <w:szCs w:val="24"/>
          <w:color w:val="C00000"/>
        </w:rPr>
        <w:t xml:space="preserve"> Buy Your Home, LLC</w:t>
      </w:r>
      <w:r>
        <w:rPr>
          <w:szCs w:val="24"/>
        </w:rPr>
        <w:t xml:space="preserve">.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Pr>
          <w:szCs w:val="24"/>
        </w:rPr>
        <w:t xml:space="preserve">Main office: 2156 Haig Point Way, Raleigh, NC, unless changed by </w:t>
      </w:r>
      <w:r>
        <w:rPr>
          <w:szCs w:val="24"/>
          <w:strike w:val="true"/>
        </w:rPr>
        <w:t xml:space="preserve">Manager(s)</w:t>
      </w:r>
      <w:r>
        <w:rPr>
          <w:szCs w:val="24"/>
          <w:color w:val="C00000"/>
        </w:rPr>
        <w:t xml:space="preserve"> Manager</w:t>
      </w:r>
      <w:r>
        <w:rPr>
          <w:szCs w:val="24"/>
        </w:rPr>
        <w:t xml:space="preserve">.</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Pr>
          <w:szCs w:val="24"/>
          <w:strike w:val="true"/>
        </w:rPr>
        <w:t xml:space="preserve">Manager(s)</w:t>
      </w:r>
      <w:r>
        <w:rPr>
          <w:szCs w:val="24"/>
          <w:color w:val="C00000"/>
        </w:rPr>
        <w:t xml:space="preserve"> Manager</w:t>
      </w:r>
      <w:r>
        <w:rPr>
          <w:szCs w:val="24"/>
        </w:rPr>
        <w:t xml:space="preserve">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Pr>
          <w:szCs w:val="24"/>
        </w:rPr>
        <w:t xml:space="preserve">: Held every second Monday in January to elect </w:t>
      </w:r>
      <w:r>
        <w:rPr>
          <w:szCs w:val="24"/>
          <w:strike w:val="true"/>
        </w:rPr>
        <w:t xml:space="preserve">Manager(s)</w:t>
      </w:r>
      <w:r>
        <w:rPr>
          <w:szCs w:val="24"/>
          <w:color w:val="C00000"/>
        </w:rPr>
        <w:t xml:space="preserve"> Manager</w:t>
      </w:r>
      <w:r>
        <w:rPr>
          <w:szCs w:val="24"/>
        </w:rPr>
        <w:t xml:space="preserve">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Pr>
          <w:szCs w:val="24"/>
        </w:rPr>
        <w:t xml:space="preserve">: Can be called by </w:t>
      </w:r>
      <w:r>
        <w:rPr>
          <w:szCs w:val="24"/>
          <w:strike w:val="true"/>
        </w:rPr>
        <w:t xml:space="preserve">Manager(s)</w:t>
      </w:r>
      <w:r>
        <w:rPr>
          <w:szCs w:val="24"/>
          <w:color w:val="C00000"/>
        </w:rPr>
        <w:t xml:space="preserve"> Manager</w:t>
      </w:r>
      <w:r>
        <w:rPr>
          <w:szCs w:val="24"/>
        </w:rPr>
        <w:t xml:space="preserve">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Pr>
          <w:b/>
          <w:bCs/>
          <w:szCs w:val="24"/>
        </w:rPr>
        <w:t xml:space="preserve">Article 5 – </w:t>
      </w:r>
      <w:r>
        <w:rPr>
          <w:b/>
          <w:bCs/>
          <w:szCs w:val="24"/>
          <w:strike w:val="true"/>
        </w:rPr>
        <w:t xml:space="preserve">Manager(s)</w:t>
      </w:r>
      <w:r>
        <w:rPr>
          <w:b/>
          <w:bCs/>
          <w:szCs w:val="24"/>
          <w:color w:val="C00000"/>
        </w:rPr>
        <w:t xml:space="preserve"> Manager</w:t>
      </w:r>
      <w:r>
        <w:rPr>
          <w:b/>
          <w:bCs/>
          <w:szCs w:val="24"/>
        </w:rPr>
        <w:t xml:space="preserve"> </w:t>
      </w:r>
    </w:p>
    <w:p w14:paraId="6932F680" w14:textId="77777777" w:rsidR="00722184" w:rsidRPr="00E63AC8" w:rsidRDefault="00722184" w:rsidP="007A3BE0">
      <w:pPr>
        <w:widowControl w:val="0"/>
        <w:numPr>
          <w:ilvl w:val="0"/>
          <w:numId w:val="16"/>
        </w:numPr>
        <w:spacing w:after="0"/>
        <w:rPr>
          <w:szCs w:val="24"/>
        </w:rPr>
      </w:pPr>
      <w:r>
        <w:rPr>
          <w:szCs w:val="24"/>
        </w:rPr>
        <w:t xml:space="preserve">The Company is managed by </w:t>
      </w:r>
      <w:r>
        <w:rPr>
          <w:szCs w:val="24"/>
          <w:strike w:val="true"/>
        </w:rPr>
        <w:t xml:space="preserve">one or more Manager(s)</w:t>
      </w:r>
      <w:r>
        <w:rPr>
          <w:szCs w:val="24"/>
          <w:color w:val="C00000"/>
        </w:rPr>
        <w:t xml:space="preserve"> Wesley Dale Browning as initial Manager</w:t>
      </w:r>
      <w:r>
        <w:rPr>
          <w:szCs w:val="24"/>
        </w:rPr>
        <w:t xml:space="preserve">, </w:t>
      </w:r>
      <w:r>
        <w:rPr>
          <w:szCs w:val="24"/>
          <w:strike w:val="true"/>
        </w:rPr>
        <w:t xml:space="preserve">elected annually by Members</w:t>
      </w:r>
      <w:r>
        <w:rPr>
          <w:szCs w:val="24"/>
          <w:color w:val="C00000"/>
        </w:rPr>
        <w:t xml:space="preserve"> serving until replaced by the Member</w:t>
      </w:r>
      <w:r>
        <w:rPr>
          <w:szCs w:val="24"/>
        </w:rPr>
        <w:t xml:space="preserve">.</w:t>
      </w:r>
    </w:p>
    <w:p w14:paraId="6327879B" w14:textId="77777777" w:rsidR="00722184" w:rsidRPr="00E63AC8" w:rsidRDefault="00722184" w:rsidP="007A3BE0">
      <w:pPr>
        <w:widowControl w:val="0"/>
        <w:numPr>
          <w:ilvl w:val="0"/>
          <w:numId w:val="16"/>
        </w:numPr>
        <w:spacing w:after="0"/>
        <w:rPr>
          <w:szCs w:val="24"/>
        </w:rPr>
      </w:pPr>
      <w:r w:rsidRPr="00E63AC8">
        <w:rPr>
          <w:szCs w:val="24"/>
          <w:strike w:val="true"/>
        </w:rPr>
        <w:t xml:space="preserve">Manager(s) need not be Members and cannot be disqualified </w:t>
      </w:r>
      <w:proofErr w:type="gramStart"/>
      <w:r w:rsidRPr="00E63AC8">
        <w:rPr>
          <w:szCs w:val="24"/>
          <w:strike w:val="true"/>
        </w:rPr>
        <w:t>persons</w:t>
      </w:r>
      <w:proofErr w:type="gramEnd"/>
      <w:r w:rsidRPr="00E63AC8">
        <w:rPr>
          <w:szCs w:val="24"/>
          <w:strike w:val="true"/>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Pr>
          <w:szCs w:val="24"/>
          <w:strike w:val="true"/>
        </w:rPr>
        <w:t xml:space="preserve">Manager(s)</w:t>
      </w:r>
      <w:r>
        <w:rPr>
          <w:szCs w:val="24"/>
          <w:color w:val="C00000"/>
        </w:rPr>
        <w:t xml:space="preserve"> Manager</w:t>
      </w:r>
      <w:r>
        <w:rPr>
          <w:szCs w:val="24"/>
        </w:rPr>
        <w:t xml:space="preserve">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strike w:val="true"/>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strike w:val="true"/>
        </w:rPr>
        <w:t>Additional Capital</w:t>
      </w:r>
      <w:r w:rsidRPr="00E63AC8">
        <w:rPr>
          <w:szCs w:val="24"/>
          <w:strike w:val="true"/>
        </w:rPr>
        <w:t>: Only allowed with IRS clearance to avoid prohibited transactions.</w:t>
      </w:r>
    </w:p>
    <w:p>
      <w:pPr>
        <w:widowControl w:val="0"/>
        <w:numPr>
          <w:ilvl w:val="0"/>
          <w:numId w:val="18"/>
        </w:numPr>
        <w:spacing w:after="0"/>
        <w:rPr>
          <w:szCs w:val="24"/>
        </w:rPr>
      </w:pPr>
      <w:r>
        <w:rPr>
          <w:color w:val="C00000"/>
        </w:rPr>
        <w:t xml:space="preserve">BYH V2 NOTE: This retirement-account prohibited-transaction clause appears inapplicable to the stated BYH facts and should be replaced with ordinary conflict-of-interest and authority language.</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Pr>
          <w:szCs w:val="24"/>
        </w:rPr>
        <w:t xml:space="preserve">: Made at </w:t>
      </w:r>
      <w:r>
        <w:rPr>
          <w:szCs w:val="24"/>
          <w:strike w:val="true"/>
        </w:rPr>
        <w:t xml:space="preserve">Manager(s)</w:t>
      </w:r>
      <w:r>
        <w:rPr>
          <w:szCs w:val="24"/>
          <w:color w:val="C00000"/>
        </w:rPr>
        <w:t xml:space="preserve"> Manager</w:t>
      </w:r>
      <w:r>
        <w:rPr>
          <w:szCs w:val="24"/>
        </w:rPr>
        <w:t xml:space="preserve">’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Pr>
          <w:szCs w:val="24"/>
        </w:rPr>
        <w:t xml:space="preserve">: </w:t>
      </w:r>
      <w:r>
        <w:rPr>
          <w:szCs w:val="24"/>
          <w:strike w:val="true"/>
        </w:rPr>
        <w:t xml:space="preserve">Manager(s)</w:t>
      </w:r>
      <w:r>
        <w:rPr>
          <w:szCs w:val="24"/>
          <w:color w:val="C00000"/>
        </w:rPr>
        <w:t xml:space="preserve"> Manager</w:t>
      </w:r>
      <w:r>
        <w:rPr>
          <w:szCs w:val="24"/>
        </w:rPr>
        <w:t xml:space="preserve">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Pr>
          <w:szCs w:val="24"/>
        </w:rPr>
        <w:t xml:space="preserve">: </w:t>
      </w:r>
      <w:r>
        <w:rPr>
          <w:szCs w:val="24"/>
          <w:strike w:val="true"/>
        </w:rPr>
        <w:t xml:space="preserve">Manager(s)</w:t>
      </w:r>
      <w:r>
        <w:rPr>
          <w:szCs w:val="24"/>
          <w:color w:val="C00000"/>
        </w:rPr>
        <w:t xml:space="preserve"> Manager</w:t>
      </w:r>
      <w:r>
        <w:rPr>
          <w:szCs w:val="24"/>
        </w:rPr>
        <w:t xml:space="preserve">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strike w:val="true"/>
        </w:rPr>
        <w:t>Prohibited Transactions</w:t>
      </w:r>
      <w:r w:rsidRPr="00E63AC8">
        <w:rPr>
          <w:szCs w:val="24"/>
          <w:strike w:val="true"/>
        </w:rPr>
        <w:t>: Manager(s) must avoid any “prohibited transaction” under IRC §4975 affecting IRA/ESA/HSA Members.</w:t>
      </w:r>
    </w:p>
    <w:p>
      <w:pPr>
        <w:widowControl w:val="0"/>
        <w:numPr>
          <w:ilvl w:val="0"/>
          <w:numId w:val="20"/>
        </w:numPr>
        <w:spacing w:after="0"/>
        <w:rPr>
          <w:szCs w:val="24"/>
        </w:rPr>
      </w:pPr>
      <w:r>
        <w:rPr>
          <w:color w:val="C00000"/>
        </w:rPr>
        <w:t xml:space="preserve">BYH V2 NOTE: This retirement-account prohibited-transaction clause appears inapplicable to the stated BYH facts and should be replaced with ordinary conflict-of-interest and authority language.</w:t>
      </w:r>
    </w:p>
    <w:p w14:paraId="65E24298" w14:textId="77777777" w:rsidR="00722184" w:rsidRPr="00E63AC8" w:rsidRDefault="00722184" w:rsidP="007A3BE0">
      <w:pPr>
        <w:widowControl w:val="0"/>
        <w:numPr>
          <w:ilvl w:val="0"/>
          <w:numId w:val="20"/>
        </w:numPr>
        <w:spacing w:after="0"/>
        <w:rPr>
          <w:szCs w:val="24"/>
        </w:rPr>
      </w:pPr>
      <w:r w:rsidRPr="00E63AC8">
        <w:rPr>
          <w:b/>
          <w:bCs/>
          <w:szCs w:val="24"/>
          <w:strike w:val="true"/>
        </w:rPr>
        <w:t>UBTI &amp; UDFI</w:t>
      </w:r>
      <w:r w:rsidRPr="00E63AC8">
        <w:rPr>
          <w:szCs w:val="24"/>
          <w:strike w:val="true"/>
        </w:rPr>
        <w:t>: Members are responsible for taxes on Unrelated Business or Debt-Financed Income; Manager must provide info for IRS filings.</w:t>
      </w:r>
    </w:p>
    <w:p>
      <w:pPr>
        <w:widowControl w:val="0"/>
        <w:numPr>
          <w:ilvl w:val="0"/>
          <w:numId w:val="20"/>
        </w:numPr>
        <w:spacing w:after="0"/>
        <w:rPr>
          <w:szCs w:val="24"/>
        </w:rPr>
      </w:pPr>
      <w:r>
        <w:rPr>
          <w:color w:val="C00000"/>
        </w:rPr>
        <w:t xml:space="preserve">BYH V2 NOTE: This retirement-account tax-reporting language appears inapplicable; confirm S corporation tax language with CPA/tax counsel.</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Pr>
          <w:szCs w:val="24"/>
        </w:rPr>
        <w:t xml:space="preserve">: </w:t>
      </w:r>
      <w:r>
        <w:rPr>
          <w:szCs w:val="24"/>
          <w:strike w:val="true"/>
        </w:rPr>
        <w:t xml:space="preserve">Manager(s)</w:t>
      </w:r>
      <w:r>
        <w:rPr>
          <w:szCs w:val="24"/>
          <w:color w:val="C00000"/>
        </w:rPr>
        <w:t xml:space="preserve"> Manager</w:t>
      </w:r>
      <w:r>
        <w:rPr>
          <w:szCs w:val="24"/>
        </w:rPr>
        <w:t xml:space="preserve">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strike w:val="true"/>
        </w:rPr>
        <w:t>Borrowing</w:t>
      </w:r>
      <w:r w:rsidRPr="00E63AC8">
        <w:rPr>
          <w:szCs w:val="24"/>
          <w:strike w:val="true"/>
        </w:rPr>
        <w:t xml:space="preserve">: Company can borrow for real estate only with 75% Member approval; disqualified </w:t>
      </w:r>
      <w:proofErr w:type="gramStart"/>
      <w:r w:rsidRPr="00E63AC8">
        <w:rPr>
          <w:szCs w:val="24"/>
          <w:strike w:val="true"/>
        </w:rPr>
        <w:t>persons</w:t>
      </w:r>
      <w:proofErr w:type="gramEnd"/>
      <w:r w:rsidRPr="00E63AC8">
        <w:rPr>
          <w:szCs w:val="24"/>
          <w:strike w:val="true"/>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strike w:val="true"/>
        </w:rPr>
        <w:t>RMDs</w:t>
      </w:r>
      <w:r w:rsidRPr="00E63AC8">
        <w:rPr>
          <w:szCs w:val="24"/>
          <w:strike w:val="true"/>
        </w:rPr>
        <w:t>: Members subject to Required Minimum Distributions (RMDs) must ensure separate funds are available to satisfy them.</w:t>
      </w:r>
    </w:p>
    <w:p>
      <w:pPr>
        <w:widowControl w:val="0"/>
        <w:numPr>
          <w:ilvl w:val="0"/>
          <w:numId w:val="20"/>
        </w:numPr>
        <w:spacing w:after="0"/>
        <w:rPr>
          <w:szCs w:val="24"/>
        </w:rPr>
      </w:pPr>
      <w:r>
        <w:rPr>
          <w:color w:val="C00000"/>
        </w:rPr>
        <w:t xml:space="preserve">BYH V2 NOTE: This RMD clause appears inapplicable to the stated BYH facts.</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Pr>
          <w:color w:val="0070C0"/>
        </w:rPr>
        <w:t xml:space="preserve">The Company’s registered office and agent in North Carolina will be chosen by the </w:t>
      </w:r>
      <w:r>
        <w:rPr>
          <w:color w:val="0070C0"/>
          <w:strike w:val="true"/>
        </w:rPr>
        <w:t xml:space="preserve">Manager(s)</w:t>
      </w:r>
      <w:r>
        <w:rPr>
          <w:color w:val="C00000"/>
        </w:rPr>
        <w:t xml:space="preserve"> Manager</w:t>
      </w:r>
      <w:r>
        <w:rPr>
          <w:color w:val="0070C0"/>
        </w:rPr>
        <w:t xml:space="preserve">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Pr>
          <w:bCs w:val="0"/>
          <w:color w:val="0070C0"/>
        </w:rPr>
        <w:t xml:space="preserve">The Company’s main office will be at 2156 Haig Point Way, Raleigh, NC 27604, unless the </w:t>
      </w:r>
      <w:r>
        <w:rPr>
          <w:bCs w:val="0"/>
          <w:color w:val="0070C0"/>
          <w:strike w:val="true"/>
        </w:rPr>
        <w:t xml:space="preserve">Manager(s)</w:t>
      </w:r>
      <w:r>
        <w:rPr>
          <w:bCs w:val="0"/>
          <w:color w:val="C00000"/>
        </w:rPr>
        <w:t xml:space="preserve"> Manager</w:t>
      </w:r>
      <w:r>
        <w:rPr>
          <w:bCs w:val="0"/>
          <w:color w:val="0070C0"/>
        </w:rPr>
        <w:t xml:space="preserve">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Pr>
          <w:bCs w:val="0"/>
          <w:color w:val="0070C0"/>
        </w:rPr>
        <w:t xml:space="preserve">The Company can set up additional offices anywhere, inside or outside North Carolina, as needed and decided by the </w:t>
      </w:r>
      <w:r>
        <w:rPr>
          <w:bCs w:val="0"/>
          <w:color w:val="0070C0"/>
          <w:strike w:val="true"/>
        </w:rPr>
        <w:t xml:space="preserve">Manager(s)</w:t>
      </w:r>
      <w:r>
        <w:rPr>
          <w:bCs w:val="0"/>
          <w:color w:val="C00000"/>
        </w:rPr>
        <w:t xml:space="preserve"> Manager</w:t>
      </w:r>
      <w:r>
        <w:rPr>
          <w:bCs w:val="0"/>
          <w:color w:val="0070C0"/>
        </w:rPr>
        <w:t xml:space="preserve">.</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pPr>
        <w:pStyle w:val="Heading1"/>
        <w:keepNext w:val="0"/>
        <w:keepLines w:val="0"/>
        <w:widowControl w:val="0"/>
        <w:spacing w:before="0"/>
        <w:rPr>
          <w:color w:val="auto"/>
          <w:u w:val="single"/>
        </w:rPr>
      </w:pPr>
      <w:r>
        <w:rPr>
          <w:color w:val="C00000"/>
        </w:rPr>
        <w:t xml:space="preserve">BYH V2 NOTE: Keep the article structure, but conform plural Member/voting mechanics to a single-member structure after confirming whether Browning Family Trust is the legal Member, beneficiary, or both.</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Pr>
          <w:color w:val="0070C0"/>
        </w:rPr>
        <w:t xml:space="preserve">To determine which Members can vote, get meeting notices, or receive distributions, the </w:t>
      </w:r>
      <w:r>
        <w:rPr>
          <w:color w:val="0070C0"/>
          <w:strike w:val="true"/>
        </w:rPr>
        <w:t xml:space="preserve">Manager(s)</w:t>
      </w:r>
      <w:r>
        <w:rPr>
          <w:color w:val="C00000"/>
        </w:rPr>
        <w:t xml:space="preserve"> Manager</w:t>
      </w:r>
      <w:r>
        <w:rPr>
          <w:color w:val="0070C0"/>
        </w:rPr>
        <w:t xml:space="preserve">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Pr>
          <w:b w:val="0"/>
          <w:bCs w:val="0"/>
          <w:color w:val="0070C0"/>
          <w:sz w:val="22"/>
          <w:szCs w:val="22"/>
        </w:rPr>
        <w:t xml:space="preserve"> still applies—unless the </w:t>
      </w:r>
      <w:r>
        <w:rPr>
          <w:b w:val="0"/>
          <w:bCs w:val="0"/>
          <w:color w:val="0070C0"/>
          <w:sz w:val="22"/>
          <w:szCs w:val="22"/>
          <w:strike w:val="true"/>
        </w:rPr>
        <w:t xml:space="preserve">Manager(s)</w:t>
      </w:r>
      <w:r>
        <w:rPr>
          <w:b w:val="0"/>
          <w:bCs w:val="0"/>
          <w:sz w:val="22"/>
          <w:szCs w:val="22"/>
          <w:color w:val="C00000"/>
        </w:rPr>
        <w:t xml:space="preserve"> Manager</w:t>
      </w:r>
      <w:r>
        <w:rPr>
          <w:b w:val="0"/>
          <w:bCs w:val="0"/>
          <w:color w:val="0070C0"/>
          <w:sz w:val="22"/>
          <w:szCs w:val="22"/>
        </w:rPr>
        <w:t xml:space="preserve">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Pr>
          <w:color w:val="0070C0"/>
        </w:rPr>
        <w:t xml:space="preserve">Membership Units can be paid for with cash, property, or a promise to pay, as approved by the </w:t>
      </w:r>
      <w:r>
        <w:rPr>
          <w:color w:val="0070C0"/>
          <w:strike w:val="true"/>
        </w:rPr>
        <w:t xml:space="preserve">Manager(s)</w:t>
      </w:r>
      <w:r>
        <w:rPr>
          <w:color w:val="C00000"/>
        </w:rPr>
        <w:t xml:space="preserve"> Manager</w:t>
      </w:r>
      <w:r>
        <w:rPr>
          <w:color w:val="0070C0"/>
        </w:rPr>
        <w:t xml:space="preserve">.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Pr>
          <w:bCs w:val="0"/>
          <w:color w:val="auto"/>
        </w:rPr>
        <w:t xml:space="preserve"> The </w:t>
      </w:r>
      <w:r>
        <w:rPr>
          <w:bCs w:val="0"/>
          <w:color w:val="auto"/>
          <w:strike w:val="true"/>
        </w:rPr>
        <w:t xml:space="preserve">Manager(s)</w:t>
      </w:r>
      <w:r>
        <w:rPr>
          <w:bCs w:val="0"/>
          <w:color w:val="C00000"/>
        </w:rPr>
        <w:t xml:space="preserve"> Manager</w:t>
      </w:r>
      <w:r>
        <w:rPr>
          <w:bCs w:val="0"/>
          <w:color w:val="auto"/>
        </w:rPr>
        <w:t xml:space="preserve">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Pr>
          <w:b/>
          <w:bCs w:val="0"/>
          <w:u w:val="single"/>
        </w:rPr>
        <w:t xml:space="preserve">Power of the </w:t>
      </w:r>
      <w:r>
        <w:rPr>
          <w:b/>
          <w:bCs w:val="0"/>
          <w:u w:val="single"/>
          <w:strike w:val="true"/>
        </w:rPr>
        <w:t xml:space="preserve">Manager(s)</w:t>
      </w:r>
      <w:r>
        <w:rPr>
          <w:b/>
          <w:bCs w:val="0"/>
          <w:u w:val="single"/>
          <w:color w:val="C00000"/>
        </w:rPr>
        <w:t xml:space="preserve"> Manager</w:t>
      </w:r>
      <w:r>
        <w:rPr>
          <w:b/>
          <w:bCs w:val="0"/>
          <w:u w:val="single"/>
        </w:rPr>
        <w:t xml:space="preserve">.</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Pr>
          <w:color w:val="0070C0"/>
        </w:rPr>
        <w:t xml:space="preserve"> or an </w:t>
      </w:r>
      <w:r>
        <w:rPr>
          <w:color w:val="0070C0"/>
          <w:strike w:val="true"/>
        </w:rPr>
        <w:t xml:space="preserve">Account Holder</w:t>
      </w:r>
      <w:r>
        <w:rPr>
          <w:color w:val="C00000"/>
        </w:rPr>
        <w:t xml:space="preserve"> trust beneficiary or authorized trust representative</w:t>
      </w:r>
      <w:r>
        <w:rPr>
          <w:color w:val="0070C0"/>
        </w:rPr>
        <w:t xml:space="preserve">,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Pr>
          <w:b/>
          <w:bCs w:val="0"/>
          <w:u w:val="single"/>
        </w:rPr>
        <w:t xml:space="preserve">Buy-Sell Rights After Death or Disability of Member or </w:t>
      </w:r>
      <w:r>
        <w:rPr>
          <w:b/>
          <w:bCs w:val="0"/>
          <w:u w:val="single"/>
          <w:strike w:val="true"/>
        </w:rPr>
        <w:t xml:space="preserve">Account Holder</w:t>
      </w:r>
      <w:r>
        <w:rPr>
          <w:b/>
          <w:bCs w:val="0"/>
          <w:u w:val="single"/>
          <w:color w:val="C00000"/>
        </w:rPr>
        <w:t xml:space="preserve"> trust beneficiary or authorized trust representative</w:t>
      </w:r>
      <w:r>
        <w:rPr>
          <w:b/>
          <w:bCs w:val="0"/>
          <w:u w:val="single"/>
        </w:rPr>
        <w:t xml:space="preserve">.</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Pr>
          <w:i/>
          <w:iCs/>
          <w:color w:val="0070C0"/>
        </w:rPr>
        <w:t xml:space="preserve">Note: “</w:t>
      </w:r>
      <w:r>
        <w:rPr>
          <w:i/>
          <w:iCs/>
          <w:color w:val="0070C0"/>
          <w:strike w:val="true"/>
        </w:rPr>
        <w:t xml:space="preserve">Account Holder</w:t>
      </w:r>
      <w:r>
        <w:rPr>
          <w:i/>
          <w:iCs/>
          <w:color w:val="C00000"/>
        </w:rPr>
        <w:t xml:space="preserve"> trust beneficiary or authorized trust representative</w:t>
      </w:r>
      <w:r>
        <w:rPr>
          <w:i/>
          <w:iCs/>
          <w:color w:val="0070C0"/>
        </w:rPr>
        <w:t xml:space="preserve">”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Pr>
          <w:color w:val="0070C0"/>
        </w:rPr>
        <w:t xml:space="preserve">Members will meet every year on the second Monday in January, starting after the first fiscal year ends. The purpose is to elect the </w:t>
      </w:r>
      <w:r>
        <w:rPr>
          <w:color w:val="0070C0"/>
          <w:strike w:val="true"/>
        </w:rPr>
        <w:t xml:space="preserve">Manager(s)</w:t>
      </w:r>
      <w:r>
        <w:rPr>
          <w:color w:val="C00000"/>
        </w:rPr>
        <w:t xml:space="preserve"> Manager</w:t>
      </w:r>
      <w:r>
        <w:rPr>
          <w:color w:val="0070C0"/>
        </w:rPr>
        <w:t xml:space="preserve">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Pr>
          <w:color w:val="0070C0"/>
        </w:rPr>
        <w:t xml:space="preserve">Special meetings can be called at any time by the </w:t>
      </w:r>
      <w:r>
        <w:rPr>
          <w:color w:val="0070C0"/>
          <w:strike w:val="true"/>
        </w:rPr>
        <w:t xml:space="preserve">Manager(s)</w:t>
      </w:r>
      <w:r>
        <w:rPr>
          <w:color w:val="C00000"/>
        </w:rPr>
        <w:t xml:space="preserve"> Manager</w:t>
      </w:r>
      <w:r>
        <w:rPr>
          <w:color w:val="0070C0"/>
        </w:rPr>
        <w:t xml:space="preserve">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Pr>
          <w:color w:val="0070C0"/>
        </w:rPr>
        <w:t xml:space="preserve">At each annual meeting, Members will elect the </w:t>
      </w:r>
      <w:r>
        <w:rPr>
          <w:color w:val="0070C0"/>
          <w:strike w:val="true"/>
        </w:rPr>
        <w:t xml:space="preserve">Manager(s)</w:t>
      </w:r>
      <w:r>
        <w:rPr>
          <w:color w:val="C00000"/>
        </w:rPr>
        <w:t xml:space="preserve"> Manager</w:t>
      </w:r>
      <w:r>
        <w:rPr>
          <w:color w:val="0070C0"/>
        </w:rPr>
        <w:t xml:space="preserve">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Pr>
          <w:color w:val="0070C0"/>
        </w:rPr>
        <w:t xml:space="preserve">Members are not allowed to use cumulative voting when electing </w:t>
      </w:r>
      <w:r>
        <w:rPr>
          <w:color w:val="0070C0"/>
          <w:strike w:val="true"/>
        </w:rPr>
        <w:t xml:space="preserve">Manager(s)</w:t>
      </w:r>
      <w:r>
        <w:rPr>
          <w:color w:val="C00000"/>
        </w:rPr>
        <w:t xml:space="preserve"> Manager</w:t>
      </w:r>
      <w:r>
        <w:rPr>
          <w:color w:val="0070C0"/>
        </w:rPr>
        <w:t xml:space="preserve">.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 xml:space="preserve">Units held by an entity (like a business or trust) must be </w:t>
      </w:r>
      <w:proofErr w:type="gramStart"/>
      <w:r w:rsidRPr="009D49C4">
        <w:rPr>
          <w:b w:val="0"/>
          <w:bCs w:val="0"/>
          <w:color w:val="0070C0"/>
          <w:sz w:val="22"/>
          <w:szCs w:val="22"/>
        </w:rPr>
        <w:t>voted</w:t>
      </w:r>
      <w:proofErr w:type="gramEnd"/>
      <w:r w:rsidRPr="009D49C4">
        <w:rPr>
          <w:b w:val="0"/>
          <w:bCs w:val="0"/>
          <w:color w:val="0070C0"/>
          <w:sz w:val="22"/>
          <w:szCs w:val="22"/>
        </w:rPr>
        <w:t xml:space="preserve">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Pr>
          <w:b w:val="0"/>
          <w:bCs w:val="0"/>
          <w:color w:val="0070C0"/>
          <w:sz w:val="22"/>
          <w:szCs w:val="22"/>
        </w:rPr>
        <w:t xml:space="preserve">f Membership Units are held jointly—whether by partners, joint tenants, tenants in common, tenants by the entirety, or under a shared fiduciary role—then, unless the </w:t>
      </w:r>
      <w:r>
        <w:rPr>
          <w:b w:val="0"/>
          <w:bCs w:val="0"/>
          <w:color w:val="0070C0"/>
          <w:sz w:val="22"/>
          <w:szCs w:val="22"/>
          <w:strike w:val="true"/>
        </w:rPr>
        <w:t xml:space="preserve">Manager(s)</w:t>
      </w:r>
      <w:r>
        <w:rPr>
          <w:b w:val="0"/>
          <w:bCs w:val="0"/>
          <w:sz w:val="22"/>
          <w:szCs w:val="22"/>
          <w:color w:val="C00000"/>
        </w:rPr>
        <w:t xml:space="preserve"> Manager</w:t>
      </w:r>
      <w:r>
        <w:rPr>
          <w:b w:val="0"/>
          <w:bCs w:val="0"/>
          <w:color w:val="0070C0"/>
          <w:sz w:val="22"/>
          <w:szCs w:val="22"/>
        </w:rPr>
        <w:t xml:space="preserve">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Pr>
          <w:color w:val="0070C0"/>
          <w:sz w:val="22"/>
        </w:rPr>
        <w:t xml:space="preserve">If documents filed with the </w:t>
      </w:r>
      <w:r>
        <w:rPr>
          <w:color w:val="0070C0"/>
          <w:sz w:val="22"/>
          <w:strike w:val="true"/>
        </w:rPr>
        <w:t xml:space="preserve">Manager(s)</w:t>
      </w:r>
      <w:r>
        <w:rPr>
          <w:sz w:val="22"/>
          <w:color w:val="C00000"/>
        </w:rPr>
        <w:t xml:space="preserve"> Manager</w:t>
      </w:r>
      <w:r>
        <w:rPr>
          <w:color w:val="0070C0"/>
          <w:sz w:val="22"/>
        </w:rPr>
        <w:t xml:space="preserve">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Pr>
          <w:u w:val="single"/>
          <w:strike w:val="true"/>
        </w:rPr>
        <w:t xml:space="preserve">Manager(s)</w:t>
      </w:r>
      <w:r>
        <w:rPr>
          <w:u w:val="single"/>
          <w:color w:val="C00000"/>
        </w:rPr>
        <w:t xml:space="preserve"> Manager</w:t>
      </w:r>
    </w:p>
    <w:p w14:paraId="74E5175B" w14:textId="47207DE8" w:rsidR="001F6CD0" w:rsidRPr="00915F79" w:rsidRDefault="00791C6B" w:rsidP="005C5B3E">
      <w:pPr>
        <w:pStyle w:val="Heading2"/>
        <w:rPr>
          <w:u w:val="single"/>
        </w:rPr>
      </w:pPr>
      <w:r>
        <w:rPr>
          <w:b/>
          <w:u w:val="single"/>
          <w:strike w:val="true"/>
        </w:rPr>
        <w:t xml:space="preserve">Manager(s)</w:t>
      </w:r>
      <w:r>
        <w:rPr>
          <w:b/>
          <w:u w:val="single"/>
          <w:color w:val="C00000"/>
        </w:rPr>
        <w:t xml:space="preserve"> Manager</w:t>
      </w:r>
      <w:r>
        <w:rPr>
          <w:b/>
          <w:u w:val="single"/>
        </w:rPr>
        <w:t xml:space="preserve"> – Number and Tenure.</w:t>
      </w:r>
      <w:r w:rsidRPr="00184709">
        <w:t xml:space="preserve"> </w:t>
      </w:r>
      <w:r w:rsidR="00A7422D" w:rsidRPr="00DE3FA3">
        <w:rPr>
          <w:color w:val="0070C0"/>
        </w:rPr>
        <w:t>The Company will start with one Manager, Jessica Santa</w:t>
      </w:r>
      <w:r w:rsidR="001B4B31">
        <w:rPr>
          <w:color w:val="0070C0"/>
        </w:rPr>
        <w:t>c</w:t>
      </w:r>
      <w:r w:rsidR="00A7422D" w:rsidRPr="00DE3FA3">
        <w:rPr>
          <w:color w:val="0070C0"/>
        </w:rPr>
        <w:t>ruz, as named in the Articles</w:t>
      </w:r>
      <w:r w:rsidR="0068411D">
        <w:rPr>
          <w:color w:val="0070C0"/>
        </w:rPr>
        <w:t xml:space="preserve"> of </w:t>
      </w:r>
      <w:r w:rsidR="00E6752E">
        <w:rPr>
          <w:color w:val="0070C0"/>
        </w:rPr>
        <w:t>Organization</w:t>
      </w:r>
      <w:r w:rsidR="00A7422D" w:rsidRPr="00DE3FA3">
        <w:rPr>
          <w:color w:val="0070C0"/>
        </w:rPr>
        <w:t xml:space="preserve">. She will serve until the first annual meeting or until she resigns or is removed. At each annual meeting, Members will elect a </w:t>
      </w:r>
      <w:proofErr w:type="gramStart"/>
      <w:r w:rsidR="00A7422D" w:rsidRPr="00DE3FA3">
        <w:rPr>
          <w:color w:val="0070C0"/>
        </w:rPr>
        <w:t>Manager</w:t>
      </w:r>
      <w:proofErr w:type="gramEnd"/>
      <w:r w:rsidR="00A7422D" w:rsidRPr="00DE3FA3">
        <w:rPr>
          <w:color w:val="0070C0"/>
        </w:rPr>
        <w:t xml:space="preserve">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xml:space="preserve">). A Manager doesn’t have to be a </w:t>
      </w:r>
      <w:proofErr w:type="gramStart"/>
      <w:r w:rsidR="00A7422D" w:rsidRPr="00DE3FA3">
        <w:rPr>
          <w:color w:val="0070C0"/>
        </w:rPr>
        <w:t>Member</w:t>
      </w:r>
      <w:proofErr w:type="gramEnd"/>
      <w:r w:rsidR="00A7422D" w:rsidRPr="00DE3FA3">
        <w:rPr>
          <w:color w:val="0070C0"/>
        </w:rPr>
        <w:t xml:space="preserve">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 xml:space="preserve">Unless otherwise agreed to by the approval of Members holding the required percentage of Membership Units for “Major Decisions” (as defined in Section 5.2(b) of this Operating </w:t>
      </w:r>
      <w:r w:rsidRPr="0096633B">
        <w:rPr>
          <w:color w:val="auto"/>
          <w:sz w:val="22"/>
          <w:szCs w:val="22"/>
          <w:strike w:val="true"/>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Pr>
          <w:b/>
          <w:bCs w:val="0"/>
          <w:u w:val="single"/>
        </w:rPr>
        <w:t xml:space="preserve">Powers of the </w:t>
      </w:r>
      <w:r>
        <w:rPr>
          <w:b/>
          <w:bCs w:val="0"/>
          <w:u w:val="single"/>
          <w:strike w:val="true"/>
        </w:rPr>
        <w:t xml:space="preserve">Manager(s)</w:t>
      </w:r>
      <w:r>
        <w:rPr>
          <w:b/>
          <w:bCs w:val="0"/>
          <w:u w:val="single"/>
          <w:color w:val="C00000"/>
        </w:rPr>
        <w:t xml:space="preserve"> Manager</w:t>
      </w:r>
      <w:r>
        <w:rPr>
          <w:b/>
          <w:bCs w:val="0"/>
          <w:u w:val="single"/>
        </w:rPr>
        <w:t xml:space="preserve">.</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Pr>
          <w:color w:val="0070C0"/>
        </w:rPr>
        <w:t xml:space="preserve">The </w:t>
      </w:r>
      <w:r>
        <w:rPr>
          <w:color w:val="0070C0"/>
          <w:strike w:val="true"/>
        </w:rPr>
        <w:t xml:space="preserve">Manager(s)</w:t>
      </w:r>
      <w:r>
        <w:rPr>
          <w:color w:val="C00000"/>
        </w:rPr>
        <w:t xml:space="preserve"> Manager</w:t>
      </w:r>
      <w:r>
        <w:rPr>
          <w:color w:val="0070C0"/>
        </w:rPr>
        <w:t xml:space="preserve">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Pr>
          <w:color w:val="0070C0"/>
        </w:rPr>
        <w:t xml:space="preserve">Some actions—called “Major Decisions”—cannot be made by the </w:t>
      </w:r>
      <w:r>
        <w:rPr>
          <w:color w:val="0070C0"/>
          <w:strike w:val="true"/>
        </w:rPr>
        <w:t xml:space="preserve">Manager(s)</w:t>
      </w:r>
      <w:r>
        <w:rPr>
          <w:color w:val="C00000"/>
        </w:rPr>
        <w:t xml:space="preserve"> Manager</w:t>
      </w:r>
      <w:r>
        <w:rPr>
          <w:color w:val="0070C0"/>
        </w:rPr>
        <w:t xml:space="preserve">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ins w:id="1" w:author="Jeff Watson" w:date="2025-10-31T12:43:00Z" w16du:dateUtc="2025-10-31T16:43:00Z">
        <w:r w:rsidR="00E6752E">
          <w:rPr>
            <w:color w:val="0070C0"/>
          </w:rPr>
          <w:t xml:space="preserve">on a </w:t>
        </w:r>
        <w:proofErr w:type="spellStart"/>
        <w:proofErr w:type="gramStart"/>
        <w:r w:rsidR="00E6752E">
          <w:rPr>
            <w:color w:val="0070C0"/>
          </w:rPr>
          <w:t>non recourse</w:t>
        </w:r>
        <w:proofErr w:type="spellEnd"/>
        <w:proofErr w:type="gramEnd"/>
        <w:r w:rsidR="00E6752E">
          <w:rPr>
            <w:color w:val="0070C0"/>
          </w:rPr>
          <w:t xml:space="preserve"> basis </w:t>
        </w:r>
      </w:ins>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t xml:space="preserve">Any increase or decrease in the number of </w:t>
      </w:r>
      <w:r>
        <w:rPr>
          <w:strike w:val="true"/>
        </w:rPr>
        <w:t xml:space="preserve">Manager(s)</w:t>
      </w:r>
      <w:r>
        <w:rPr>
          <w:color w:val="C00000"/>
        </w:rPr>
        <w:t xml:space="preserve"> Manager</w:t>
      </w:r>
      <w:r>
        <w:t xml:space="preserve">.</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Pr>
          <w:color w:val="0070C0"/>
          <w:strike w:val="true"/>
        </w:rPr>
        <w:t xml:space="preserve">Manager(s)</w:t>
      </w:r>
      <w:r>
        <w:rPr>
          <w:color w:val="C00000"/>
        </w:rPr>
        <w:t xml:space="preserve"> Manager</w:t>
      </w:r>
      <w:r>
        <w:rPr>
          <w:color w:val="0070C0"/>
        </w:rPr>
        <w:t xml:space="preserve">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Pr>
          <w:color w:val="0070C0"/>
          <w:strike w:val="true"/>
        </w:rPr>
        <w:t xml:space="preserve">Manager(s)</w:t>
      </w:r>
      <w:r>
        <w:rPr>
          <w:color w:val="C00000"/>
        </w:rPr>
        <w:t xml:space="preserve"> Manager</w:t>
      </w:r>
      <w:r>
        <w:rPr>
          <w:color w:val="0070C0"/>
        </w:rPr>
        <w:t xml:space="preserve">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Pr>
          <w:b/>
          <w:bCs w:val="0"/>
          <w:u w:val="single"/>
        </w:rPr>
        <w:t xml:space="preserve">Vacancies; Election of New </w:t>
      </w:r>
      <w:r>
        <w:rPr>
          <w:b/>
          <w:bCs w:val="0"/>
          <w:u w:val="single"/>
          <w:strike w:val="true"/>
        </w:rPr>
        <w:t xml:space="preserve">Manager(s)</w:t>
      </w:r>
      <w:r>
        <w:rPr>
          <w:b/>
          <w:bCs w:val="0"/>
          <w:u w:val="single"/>
          <w:color w:val="C00000"/>
        </w:rPr>
        <w:t xml:space="preserve"> Manager</w:t>
      </w:r>
      <w:r>
        <w:rPr>
          <w:b/>
          <w:bCs w:val="0"/>
          <w:u w:val="single"/>
        </w:rPr>
        <w:t xml:space="preserve">.</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Pr>
          <w:b/>
          <w:bCs w:val="0"/>
          <w:u w:val="single"/>
        </w:rPr>
        <w:t xml:space="preserve"> </w:t>
      </w:r>
      <w:r>
        <w:rPr>
          <w:b/>
          <w:bCs w:val="0"/>
          <w:u w:val="single"/>
          <w:strike w:val="true"/>
        </w:rPr>
        <w:t xml:space="preserve">Manager(s)</w:t>
      </w:r>
      <w:r>
        <w:rPr>
          <w:b/>
          <w:bCs w:val="0"/>
          <w:u w:val="single"/>
          <w:color w:val="C00000"/>
        </w:rPr>
        <w:t xml:space="preserve"> Manager</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strike w:val="true"/>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Pr>
          <w:b/>
          <w:bCs w:val="0"/>
          <w:u w:val="single"/>
        </w:rPr>
        <w:t xml:space="preserve">Financial Interests of </w:t>
      </w:r>
      <w:r>
        <w:rPr>
          <w:b/>
          <w:bCs w:val="0"/>
          <w:u w:val="single"/>
          <w:strike w:val="true"/>
        </w:rPr>
        <w:t xml:space="preserve">Manager(s)</w:t>
      </w:r>
      <w:r>
        <w:rPr>
          <w:b/>
          <w:bCs w:val="0"/>
          <w:u w:val="single"/>
          <w:color w:val="C00000"/>
        </w:rPr>
        <w:t xml:space="preserve"> Manager</w:t>
      </w:r>
      <w:r>
        <w:rPr>
          <w:b/>
          <w:bCs w:val="0"/>
          <w:u w:val="single"/>
        </w:rPr>
        <w:t xml:space="preserve">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Pr>
          <w:color w:val="0070C0"/>
        </w:rPr>
        <w:t xml:space="preserve">The important details about the Manager’s role or interest are disclosed to the other </w:t>
      </w:r>
      <w:r>
        <w:rPr>
          <w:color w:val="0070C0"/>
          <w:strike w:val="true"/>
        </w:rPr>
        <w:t xml:space="preserve">Manager(s)</w:t>
      </w:r>
      <w:r>
        <w:rPr>
          <w:color w:val="C00000"/>
        </w:rPr>
        <w:t xml:space="preserve"> Manager</w:t>
      </w:r>
      <w:r>
        <w:rPr>
          <w:color w:val="0070C0"/>
        </w:rPr>
        <w:t xml:space="preserve">,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strike w:val="true"/>
        </w:rPr>
        <w:t>However, no transaction can be approved if it would be considered a “prohibited transaction” under Internal Revenue Code §4975.</w:t>
      </w:r>
    </w:p>
    <w:p>
      <w:pPr>
        <w:pStyle w:val="Heading1"/>
        <w:keepNext w:val="0"/>
        <w:keepLines w:val="0"/>
        <w:widowControl w:val="0"/>
        <w:jc w:val="both"/>
        <w:rPr>
          <w:color w:val="auto"/>
          <w:sz w:val="22"/>
          <w:szCs w:val="22"/>
        </w:rPr>
      </w:pPr>
      <w:r>
        <w:rPr>
          <w:color w:val="C00000"/>
        </w:rPr>
        <w:t xml:space="preserve">BYH V2 NOTE: This retirement-account prohibited-transaction clause appears inapplicable to the stated BYH facts and should be replaced with ordinary conflict-of-interest and authority language.</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strike w:val="true"/>
        </w:rPr>
        <w:t>Even if one of the above methods approves indemnification, it cannot proceed if doing so would violate the rules against “prohibited transactions” in IRC §4975.</w:t>
      </w:r>
    </w:p>
    <w:p>
      <w:pPr>
        <w:pStyle w:val="Heading1"/>
        <w:keepNext w:val="0"/>
        <w:keepLines w:val="0"/>
        <w:widowControl w:val="0"/>
        <w:jc w:val="both"/>
        <w:rPr>
          <w:color w:val="auto"/>
          <w:sz w:val="22"/>
          <w:szCs w:val="22"/>
        </w:rPr>
      </w:pPr>
      <w:r>
        <w:rPr>
          <w:color w:val="C00000"/>
        </w:rPr>
        <w:t xml:space="preserve">BYH V2 NOTE: This retirement-account prohibited-transaction clause appears inapplicable to the stated BYH facts and should be replaced with ordinary conflict-of-interest and authority language.</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strike w:val="true"/>
        </w:rPr>
        <w:t>Additional Capital.</w:t>
      </w:r>
      <w:r w:rsidR="00614230" w:rsidRPr="004B488C">
        <w:rPr>
          <w:sz w:val="24"/>
          <w:szCs w:val="24"/>
          <w:strike w:val="true"/>
        </w:rPr>
        <w:t xml:space="preserve"> </w:t>
      </w:r>
      <w:r w:rsidR="001233CB" w:rsidRPr="004B488C">
        <w:rPr>
          <w:color w:val="0070C0"/>
          <w:sz w:val="24"/>
          <w:szCs w:val="24"/>
          <w:strike w:val="true"/>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strike w:val="true"/>
        </w:rPr>
        <w:t>contributions</w:t>
      </w:r>
      <w:proofErr w:type="gramEnd"/>
      <w:r w:rsidR="001233CB" w:rsidRPr="004B488C">
        <w:rPr>
          <w:color w:val="0070C0"/>
          <w:sz w:val="24"/>
          <w:szCs w:val="24"/>
          <w:strike w:val="true"/>
        </w:rPr>
        <w:t xml:space="preserve"> must be proportional to ownership percentages. Members also cannot loan money or provide services to the Company, as that would violate IRS rules (26 U.S.C. §4975</w:t>
      </w:r>
    </w:p>
    <w:p>
      <w:pPr>
        <w:pStyle w:val="Heading2"/>
        <w:keepNext w:val="0"/>
        <w:keepLines w:val="0"/>
        <w:widowControl w:val="0"/>
        <w:numPr>
          <w:ilvl w:val="1"/>
          <w:numId w:val="10"/>
        </w:numPr>
        <w:rPr>
          <w:sz w:val="24"/>
          <w:szCs w:val="24"/>
        </w:rPr>
      </w:pPr>
      <w:r>
        <w:rPr>
          <w:color w:val="C00000"/>
        </w:rPr>
        <w:t xml:space="preserve">BYH V2 NOTE: This retirement-account prohibited-transaction clause appears inapplicable to the stated BYH facts and should be replaced with ordinary conflict-of-interest and authority language.</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Pr>
          <w:color w:val="0070C0"/>
        </w:rPr>
        <w:t xml:space="preserve">Distributions to Members may be made in cash or property if authorized by the </w:t>
      </w:r>
      <w:r>
        <w:rPr>
          <w:color w:val="0070C0"/>
          <w:strike w:val="true"/>
        </w:rPr>
        <w:t xml:space="preserve">Manager(s)</w:t>
      </w:r>
      <w:r>
        <w:rPr>
          <w:color w:val="C00000"/>
        </w:rPr>
        <w:t xml:space="preserve"> Manager</w:t>
      </w:r>
      <w:r>
        <w:rPr>
          <w:color w:val="0070C0"/>
        </w:rPr>
        <w:t xml:space="preserve">,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Pr>
          <w:color w:val="0070C0"/>
        </w:rPr>
        <w:t xml:space="preserve">The </w:t>
      </w:r>
      <w:r>
        <w:rPr>
          <w:color w:val="0070C0"/>
          <w:strike w:val="true"/>
        </w:rPr>
        <w:t xml:space="preserve">Manager(s)</w:t>
      </w:r>
      <w:r>
        <w:rPr>
          <w:color w:val="C00000"/>
        </w:rPr>
        <w:t xml:space="preserve"> Manager</w:t>
      </w:r>
      <w:r>
        <w:rPr>
          <w:color w:val="0070C0"/>
        </w:rPr>
        <w:t xml:space="preserve">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Pr>
          <w:color w:val="0070C0"/>
        </w:rPr>
        <w:t xml:space="preserve">The Company’s fiscal year is the calendar year, unless the </w:t>
      </w:r>
      <w:r>
        <w:rPr>
          <w:color w:val="0070C0"/>
          <w:strike w:val="true"/>
        </w:rPr>
        <w:t xml:space="preserve">Manager(s)</w:t>
      </w:r>
      <w:r>
        <w:rPr>
          <w:color w:val="C00000"/>
        </w:rPr>
        <w:t xml:space="preserve"> Manager</w:t>
      </w:r>
      <w:r>
        <w:rPr>
          <w:color w:val="0070C0"/>
        </w:rPr>
        <w:t xml:space="preserve">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Pr>
          <w:color w:val="0070C0"/>
        </w:rPr>
        <w:t xml:space="preserve">All Company funds must be deposited into accounts at banks or other institutions chosen by the </w:t>
      </w:r>
      <w:r>
        <w:rPr>
          <w:color w:val="0070C0"/>
          <w:strike w:val="true"/>
        </w:rPr>
        <w:t xml:space="preserve">Manager(s)</w:t>
      </w:r>
      <w:r>
        <w:rPr>
          <w:color w:val="C00000"/>
        </w:rPr>
        <w:t xml:space="preserve"> Manager</w:t>
      </w:r>
      <w:r>
        <w:rPr>
          <w:color w:val="0070C0"/>
        </w:rPr>
        <w:t xml:space="preserve">.</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Pr>
          <w:color w:val="0070C0"/>
        </w:rPr>
        <w:t xml:space="preserve">Only </w:t>
      </w:r>
      <w:r>
        <w:rPr>
          <w:color w:val="0070C0"/>
          <w:strike w:val="true"/>
        </w:rPr>
        <w:t xml:space="preserve">Manager(s)</w:t>
      </w:r>
      <w:r>
        <w:rPr>
          <w:color w:val="C00000"/>
        </w:rPr>
        <w:t xml:space="preserve"> Manager</w:t>
      </w:r>
      <w:r>
        <w:rPr>
          <w:color w:val="0070C0"/>
        </w:rPr>
        <w:t xml:space="preserve">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Pr>
          <w:b/>
          <w:bCs w:val="0"/>
          <w:u w:val="single"/>
        </w:rPr>
        <w:t xml:space="preserve">Reimbursement of </w:t>
      </w:r>
      <w:r>
        <w:rPr>
          <w:b/>
          <w:bCs w:val="0"/>
          <w:u w:val="single"/>
          <w:strike w:val="true"/>
        </w:rPr>
        <w:t xml:space="preserve">Manager(s)</w:t>
      </w:r>
      <w:r>
        <w:rPr>
          <w:b/>
          <w:bCs w:val="0"/>
          <w:u w:val="single"/>
          <w:color w:val="C00000"/>
        </w:rPr>
        <w:t xml:space="preserve"> Manager</w:t>
      </w:r>
      <w:r>
        <w:rPr>
          <w:b/>
          <w:bCs w:val="0"/>
          <w:u w:val="single"/>
        </w:rPr>
        <w:t xml:space="preserve">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Pr>
          <w:color w:val="0070C0"/>
        </w:rPr>
        <w:t xml:space="preserve">The Company will be treated as a pass-through entity for federal tax purposes—either as a </w:t>
      </w:r>
      <w:r>
        <w:rPr>
          <w:color w:val="0070C0"/>
          <w:strike w:val="true"/>
        </w:rPr>
        <w:t xml:space="preserve">disregarded entity (if it has one Member) or a partnership (if it has multiple Members)</w:t>
      </w:r>
      <w:r>
        <w:rPr>
          <w:color w:val="C00000"/>
        </w:rPr>
        <w:t xml:space="preserve"> an S corporation after a valid S election</w:t>
      </w:r>
      <w:r>
        <w:rPr>
          <w:color w:val="0070C0"/>
        </w:rPr>
        <w:t xml:space="preserve">. </w:t>
      </w:r>
      <w:r>
        <w:rPr>
          <w:color w:val="0070C0"/>
          <w:strike w:val="true"/>
        </w:rPr>
        <w:t xml:space="preserve">The Manager(s) must not take any action to change this classification.</w:t>
      </w:r>
      <w:r>
        <w:rPr>
          <w:color w:val="C00000"/>
        </w:rPr>
        <w:t xml:space="preserve"> The Manager must not take any action inconsistent with maintaining the Company's intended S corporation tax status.</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Pr>
          <w:color w:val="0070C0"/>
        </w:rPr>
        <w:t xml:space="preserve">After dissolution, the </w:t>
      </w:r>
      <w:r>
        <w:rPr>
          <w:color w:val="0070C0"/>
          <w:strike w:val="true"/>
        </w:rPr>
        <w:t xml:space="preserve">Manager(s)</w:t>
      </w:r>
      <w:r>
        <w:rPr>
          <w:color w:val="C00000"/>
        </w:rPr>
        <w:t xml:space="preserve"> Manager</w:t>
      </w:r>
      <w:r>
        <w:rPr>
          <w:color w:val="0070C0"/>
        </w:rPr>
        <w:t xml:space="preserve">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strike w:val="true"/>
        </w:rPr>
        <w:t>Restriction Against Prohibited Transactions.</w:t>
      </w:r>
      <w:r w:rsidRPr="00184709">
        <w:rPr>
          <w:strike w:val="true"/>
        </w:rPr>
        <w:t xml:space="preserve">  </w:t>
      </w:r>
      <w:r w:rsidR="00B73534" w:rsidRPr="00B73534">
        <w:rPr>
          <w:b/>
          <w:bCs w:val="0"/>
          <w:color w:val="0070C0"/>
          <w:strike w:val="true"/>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pPr>
        <w:pStyle w:val="Heading2"/>
        <w:keepNext w:val="0"/>
        <w:keepLines w:val="0"/>
        <w:widowControl w:val="0"/>
        <w:numPr>
          <w:ilvl w:val="1"/>
          <w:numId w:val="10"/>
        </w:numPr>
        <w:rPr>
          <w:b/>
          <w:bCs w:val="0"/>
        </w:rPr>
      </w:pPr>
      <w:r>
        <w:rPr>
          <w:color w:val="C00000"/>
        </w:rPr>
        <w:t xml:space="preserve">BYH V2 NOTE: This retirement-account prohibited-transaction clause appears inapplicable to the stated BYH facts and should be replaced with ordinary conflict-of-interest and authority language.</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t>Unrelated Business Taxable Income and Unrelated Debt Financed Income</w:t>
      </w:r>
      <w:r w:rsidRPr="00DA1C54">
        <w:rPr>
          <w:b/>
          <w:bCs w:val="0"/>
          <w:strike w:val="true"/>
        </w:rPr>
        <w:t>.</w:t>
      </w:r>
      <w:r w:rsidR="00BE1A74" w:rsidRPr="00DA1C54">
        <w:rPr>
          <w:b/>
          <w:bCs w:val="0"/>
          <w:strike w:val="true"/>
        </w:rPr>
        <w:t xml:space="preserve"> </w:t>
      </w:r>
      <w:r w:rsidR="00B40C28" w:rsidRPr="00B40C28">
        <w:rPr>
          <w:b/>
          <w:bCs w:val="0"/>
          <w:color w:val="0070C0"/>
          <w:strike w:val="true"/>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strike w:val="true"/>
        </w:rPr>
        <w:t>directly</w:t>
      </w:r>
      <w:proofErr w:type="gramEnd"/>
      <w:r w:rsidR="00B40C28" w:rsidRPr="00B40C28">
        <w:rPr>
          <w:b/>
          <w:bCs w:val="0"/>
          <w:color w:val="0070C0"/>
          <w:strike w:val="true"/>
        </w:rPr>
        <w:t xml:space="preserve"> to the Members. The Manager must provide the necessary details for Members to file IRS Form 990-T and, where allowed under Section 7.4, make distributions to cover the resulting tax liabilities.</w:t>
      </w:r>
    </w:p>
    <w:p>
      <w:pPr>
        <w:pStyle w:val="Heading2"/>
        <w:keepNext w:val="0"/>
        <w:keepLines w:val="0"/>
        <w:widowControl w:val="0"/>
        <w:numPr>
          <w:ilvl w:val="1"/>
          <w:numId w:val="10"/>
        </w:numPr>
        <w:rPr>
          <w:b/>
          <w:bCs w:val="0"/>
          <w:color w:val="4F81BD" w:themeColor="accent1"/>
        </w:rPr>
      </w:pPr>
      <w:r>
        <w:rPr>
          <w:color w:val="C00000"/>
        </w:rPr>
        <w:t xml:space="preserve">BYH V2 NOTE: This retirement-account tax-reporting language appears inapplicable; confirm S corporation tax language with CPA/tax counsel.</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Pr>
          <w:b/>
          <w:bCs w:val="0"/>
          <w:u w:val="single"/>
          <w:strike w:val="true"/>
        </w:rPr>
        <w:t xml:space="preserve">Manager(s)</w:t>
      </w:r>
      <w:r>
        <w:rPr>
          <w:b/>
          <w:bCs w:val="0"/>
          <w:u w:val="single"/>
          <w:color w:val="C00000"/>
        </w:rPr>
        <w:t xml:space="preserve"> Manager</w:t>
      </w:r>
      <w:r>
        <w:rPr>
          <w:b/>
          <w:bCs w:val="0"/>
          <w:u w:val="single"/>
        </w:rPr>
        <w:t xml:space="preserve">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Borrowing Money.</w:t>
      </w:r>
      <w:r w:rsidRPr="00822F49">
        <w:rPr>
          <w:b/>
          <w:bCs w:val="0"/>
          <w:strike w:val="true"/>
        </w:rPr>
        <w:t xml:space="preserve">  </w:t>
      </w:r>
      <w:r w:rsidR="001F575A" w:rsidRPr="001F575A">
        <w:rPr>
          <w:b/>
          <w:bCs w:val="0"/>
          <w:color w:val="0070C0"/>
          <w:strike w:val="true"/>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Required Minimum Distributions.</w:t>
      </w:r>
      <w:r w:rsidRPr="00822F49">
        <w:rPr>
          <w:b/>
          <w:bCs w:val="0"/>
          <w:strike w:val="true"/>
        </w:rPr>
        <w:t xml:space="preserve">  </w:t>
      </w:r>
      <w:proofErr w:type="gramStart"/>
      <w:r w:rsidR="001334E6" w:rsidRPr="005E2A4A">
        <w:rPr>
          <w:b/>
          <w:bCs w:val="0"/>
          <w:color w:val="FF0000"/>
          <w:strike w:val="true"/>
        </w:rPr>
        <w:t>( I</w:t>
      </w:r>
      <w:proofErr w:type="gramEnd"/>
      <w:r w:rsidR="001334E6" w:rsidRPr="005E2A4A">
        <w:rPr>
          <w:b/>
          <w:bCs w:val="0"/>
          <w:color w:val="FF0000"/>
          <w:strike w:val="true"/>
        </w:rPr>
        <w:t xml:space="preserve"> would rather </w:t>
      </w:r>
      <w:r w:rsidR="005E2A4A" w:rsidRPr="005E2A4A">
        <w:rPr>
          <w:b/>
          <w:bCs w:val="0"/>
          <w:color w:val="FF0000"/>
          <w:strike w:val="true"/>
        </w:rPr>
        <w:t xml:space="preserve">prohibit accounts that require </w:t>
      </w:r>
      <w:commentRangeStart w:id="4"/>
      <w:r w:rsidR="005E2A4A" w:rsidRPr="005E2A4A">
        <w:rPr>
          <w:b/>
          <w:bCs w:val="0"/>
          <w:color w:val="FF0000"/>
          <w:strike w:val="true"/>
        </w:rPr>
        <w:t>RMD</w:t>
      </w:r>
      <w:commentRangeEnd w:id="4"/>
      <w:r w:rsidR="00E6752E">
        <w:rPr>
          <w:rStyle w:val="CommentReference"/>
          <w:rFonts w:eastAsiaTheme="minorEastAsia" w:cstheme="minorBidi"/>
          <w:bCs w:val="0"/>
          <w:color w:val="auto"/>
          <w:strike w:val="true"/>
        </w:rPr>
        <w:commentReference w:id="4"/>
      </w:r>
      <w:r w:rsidR="005E2A4A" w:rsidRPr="005E2A4A">
        <w:rPr>
          <w:b/>
          <w:bCs w:val="0"/>
          <w:color w:val="FF0000"/>
          <w:strike w:val="true"/>
        </w:rPr>
        <w:t xml:space="preserve">) </w:t>
      </w:r>
      <w:r w:rsidR="001334E6" w:rsidRPr="001334E6">
        <w:rPr>
          <w:b/>
          <w:bCs w:val="0"/>
          <w:color w:val="0070C0"/>
          <w:strike w:val="true"/>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pPr>
        <w:pStyle w:val="Heading2"/>
        <w:keepNext w:val="0"/>
        <w:keepLines w:val="0"/>
        <w:widowControl w:val="0"/>
        <w:numPr>
          <w:ilvl w:val="1"/>
          <w:numId w:val="10"/>
        </w:numPr>
        <w:rPr>
          <w:b/>
          <w:bCs w:val="0"/>
        </w:rPr>
      </w:pPr>
      <w:r>
        <w:rPr>
          <w:color w:val="C00000"/>
        </w:rPr>
        <w:t xml:space="preserve">BYH V2 NOTE: This RMD clause appears inapplicable to the stated BYH facts.</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Pr>
          <w:color w:val="0070C0"/>
        </w:rPr>
        <w:t xml:space="preserve">seal, chosen by the </w:t>
      </w:r>
      <w:r>
        <w:rPr>
          <w:color w:val="0070C0"/>
          <w:strike w:val="true"/>
        </w:rPr>
        <w:t xml:space="preserve">Manager(s)</w:t>
      </w:r>
      <w:r>
        <w:rPr>
          <w:color w:val="C00000"/>
        </w:rPr>
        <w:t xml:space="preserve"> Manager</w:t>
      </w:r>
      <w:r>
        <w:rPr>
          <w:color w:val="0070C0"/>
        </w:rPr>
        <w:t xml:space="preserve">.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pPr>
        <w:pStyle w:val="Heading1"/>
        <w:rPr>
          <w:color w:val="4F81BD" w:themeColor="accent1"/>
        </w:rPr>
      </w:pPr>
      <w:r>
        <w:rPr>
          <w:color w:val="C00000"/>
        </w:rPr>
        <w:t xml:space="preserve">BYH V2 NOTE: Replace retirement-account signature blocks with Browning Family Trust and Wesley Dale Browning Manager signature blocks after confirming signer authority.</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rPr>
        <w:t xml:space="preserve">THE UNDERSIGNED, being </w:t>
      </w:r>
      <w:proofErr w:type="gramStart"/>
      <w:r w:rsidRPr="00184709">
        <w:rPr>
          <w:b w:val="0"/>
          <w:bCs w:val="0"/>
          <w:color w:val="auto"/>
        </w:rPr>
        <w:t>all of</w:t>
      </w:r>
      <w:proofErr w:type="gramEnd"/>
      <w:r>
        <w:rPr>
          <w:b w:val="0"/>
          <w:bCs w:val="0"/>
          <w:color w:val="auto"/>
        </w:rPr>
        <w:t xml:space="preserve"> the Members and </w:t>
      </w:r>
      <w:r>
        <w:rPr>
          <w:b w:val="0"/>
          <w:bCs w:val="0"/>
          <w:color w:val="auto"/>
          <w:strike w:val="true"/>
        </w:rPr>
        <w:t xml:space="preserve">Manager(s)</w:t>
      </w:r>
      <w:r>
        <w:rPr>
          <w:b w:val="0"/>
          <w:bCs w:val="0"/>
          <w:color w:val="C00000"/>
        </w:rPr>
        <w:t xml:space="preserve"> Manager</w:t>
      </w:r>
      <w:r>
        <w:rPr>
          <w:b w:val="0"/>
          <w:bCs w:val="0"/>
          <w:color w:val="auto"/>
        </w:rPr>
        <w:t xml:space="preserve"> of the Company, hereby evidence their adoption and ratification of this Amended and Restated Operating Agreement for and on </w:t>
      </w:r>
      <w:proofErr w:type="gramStart"/>
      <w:r w:rsidRPr="00184709">
        <w:rPr>
          <w:b w:val="0"/>
          <w:bCs w:val="0"/>
          <w:color w:val="auto"/>
        </w:rPr>
        <w:t>the behalf</w:t>
      </w:r>
      <w:proofErr w:type="gramEnd"/>
      <w:r w:rsidRPr="00184709">
        <w:rPr>
          <w:b w:val="0"/>
          <w:bCs w:val="0"/>
          <w:color w:val="auto"/>
        </w:rPr>
        <w:t xml:space="preserve"> of themselves and the Company, effective </w:t>
      </w:r>
      <w:proofErr w:type="gramStart"/>
      <w:r w:rsidRPr="00184709">
        <w:rPr>
          <w:b w:val="0"/>
          <w:bCs w:val="0"/>
          <w:color w:val="auto"/>
        </w:rPr>
        <w:t>June __</w:t>
      </w:r>
      <w:proofErr w:type="gramEnd"/>
      <w:r w:rsidRPr="00184709">
        <w:rPr>
          <w:b w:val="0"/>
          <w:bCs w:val="0"/>
          <w:color w:val="auto"/>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 xml:space="preserve">Heritage IRA, FBO Wesley Dale Browning </w:t>
      </w:r>
      <w:proofErr w:type="gramStart"/>
      <w:r w:rsidR="005B00DB" w:rsidRPr="000B439E">
        <w:rPr>
          <w:color w:val="auto"/>
          <w:sz w:val="22"/>
          <w:szCs w:val="22"/>
          <w:strike w:val="true"/>
        </w:rPr>
        <w:t>HSA</w:t>
      </w:r>
      <w:r w:rsidR="00CE6AC9" w:rsidRPr="000B439E">
        <w:rPr>
          <w:color w:val="auto"/>
          <w:sz w:val="22"/>
          <w:szCs w:val="22"/>
          <w:strike w:val="true"/>
        </w:rPr>
        <w:t xml:space="preserve"> </w:t>
      </w:r>
      <w:r w:rsidR="005B00DB" w:rsidRPr="000B439E">
        <w:rPr>
          <w:color w:val="auto"/>
          <w:sz w:val="22"/>
          <w:szCs w:val="22"/>
          <w:strike w:val="true"/>
        </w:rPr>
        <w:t xml:space="preserve"> </w:t>
      </w:r>
      <w:r w:rsidRPr="000B439E">
        <w:rPr>
          <w:color w:val="auto"/>
          <w:sz w:val="22"/>
          <w:szCs w:val="22"/>
          <w:u w:val="single"/>
          <w:strike w:val="true"/>
        </w:rPr>
        <w:t>#</w:t>
      </w:r>
      <w:proofErr w:type="gramEnd"/>
      <w:r w:rsidR="00FA58E6" w:rsidRPr="000B439E">
        <w:rPr>
          <w:color w:val="auto"/>
          <w:sz w:val="22"/>
          <w:szCs w:val="22"/>
          <w:u w:val="single"/>
          <w:strike w:val="true"/>
        </w:rPr>
        <w:t>99169956</w:t>
      </w:r>
    </w:p>
    <w:p>
      <w:pPr>
        <w:pStyle w:val="Heading1"/>
        <w:keepNext w:val="0"/>
        <w:keepLines w:val="0"/>
        <w:widowControl w:val="0"/>
        <w:spacing w:before="0"/>
        <w:ind w:left="3240"/>
        <w:jc w:val="left"/>
        <w:rPr>
          <w:color w:val="auto"/>
          <w:sz w:val="22"/>
          <w:szCs w:val="22"/>
          <w:u w:val="single"/>
        </w:rPr>
      </w:pPr>
      <w:r>
        <w:rPr>
          <w:color w:val="C00000"/>
        </w:rPr>
        <w:t xml:space="preserve">BYH V2 NOTE: This retirement-account signature/member label is inapplicable. Use Browning Family Trust and Wesley Dale Browning Manager signature language after confirming authority.</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pPr>
        <w:pStyle w:val="Heading1"/>
        <w:keepNext w:val="0"/>
        <w:keepLines w:val="0"/>
        <w:widowControl w:val="0"/>
        <w:spacing w:before="0"/>
        <w:ind w:left="3240"/>
        <w:jc w:val="left"/>
        <w:rPr>
          <w:b w:val="0"/>
          <w:bCs w:val="0"/>
          <w:color w:val="auto"/>
          <w:sz w:val="22"/>
          <w:szCs w:val="22"/>
        </w:rPr>
      </w:pPr>
      <w:r>
        <w:rPr>
          <w:color w:val="C00000"/>
        </w:rPr>
        <w:t xml:space="preserve">BYH V2 NOTE: This retirement-account signature/member label is inapplicable. Use Browning Family Trust and Wesley Dale Browning Manager signature language after confirming authority.</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strike w:val="true"/>
        </w:rPr>
        <w:t>Heritage IRA, FBO Wesley Dale Browning Roth</w:t>
      </w:r>
      <w:r w:rsidR="003B0DD4" w:rsidRPr="000B439E">
        <w:rPr>
          <w:color w:val="auto"/>
          <w:sz w:val="22"/>
          <w:szCs w:val="22"/>
          <w:strike w:val="true"/>
        </w:rPr>
        <w:t xml:space="preserve"> </w:t>
      </w:r>
      <w:r w:rsidRPr="000B439E">
        <w:rPr>
          <w:color w:val="auto"/>
          <w:sz w:val="22"/>
          <w:szCs w:val="22"/>
          <w:strike w:val="true"/>
        </w:rPr>
        <w:t>IRA #</w:t>
      </w:r>
      <w:r w:rsidR="0038070B" w:rsidRPr="000B439E">
        <w:rPr>
          <w:color w:val="auto"/>
          <w:sz w:val="22"/>
          <w:szCs w:val="22"/>
          <w:u w:val="single"/>
          <w:strike w:val="true"/>
        </w:rPr>
        <w:t>8870274</w:t>
      </w:r>
      <w:r w:rsidR="0038070B" w:rsidRPr="000B439E">
        <w:rPr>
          <w:rFonts w:ascii="Calibri" w:eastAsia="Calibri" w:hAnsi="Calibri" w:cs="Calibri"/>
          <w:sz w:val="24"/>
          <w:strike w:val="true"/>
        </w:rPr>
        <w:t xml:space="preserve">  </w:t>
      </w:r>
    </w:p>
    <w:p>
      <w:pPr>
        <w:pStyle w:val="Heading1"/>
        <w:keepNext w:val="0"/>
        <w:keepLines w:val="0"/>
        <w:widowControl w:val="0"/>
        <w:spacing w:before="0"/>
        <w:ind w:left="3240"/>
        <w:jc w:val="left"/>
        <w:rPr>
          <w:color w:val="auto"/>
          <w:sz w:val="22"/>
          <w:szCs w:val="22"/>
        </w:rPr>
      </w:pPr>
      <w:r>
        <w:rPr>
          <w:color w:val="C00000"/>
        </w:rPr>
        <w:t xml:space="preserve">BYH V2 NOTE: This retirement-account signature/member label is inapplicable. Use Browning Family Trust and Wesley Dale Browning Manager signature language after confirming authority.</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pPr>
        <w:pStyle w:val="Heading1"/>
        <w:keepNext w:val="0"/>
        <w:keepLines w:val="0"/>
        <w:widowControl w:val="0"/>
        <w:spacing w:before="0"/>
        <w:ind w:left="3240"/>
        <w:jc w:val="left"/>
        <w:rPr>
          <w:b w:val="0"/>
          <w:bCs w:val="0"/>
          <w:color w:val="auto"/>
          <w:sz w:val="22"/>
          <w:szCs w:val="22"/>
        </w:rPr>
      </w:pPr>
      <w:r>
        <w:rPr>
          <w:color w:val="C00000"/>
        </w:rPr>
        <w:t xml:space="preserve">BYH V2 NOTE: This retirement-account signature/member label is inapplicable. Use Browning Family Trust and Wesley Dale Browning Manager signature language after confirming authority.</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Heritage IRA, FBO Jeanette W.</w:t>
      </w:r>
      <w:r w:rsidR="00DF5503" w:rsidRPr="000B439E">
        <w:rPr>
          <w:color w:val="auto"/>
          <w:sz w:val="22"/>
          <w:szCs w:val="22"/>
          <w:strike w:val="true"/>
        </w:rPr>
        <w:t xml:space="preserve"> Hollinger Roth </w:t>
      </w:r>
      <w:r w:rsidRPr="000B439E">
        <w:rPr>
          <w:color w:val="auto"/>
          <w:sz w:val="22"/>
          <w:szCs w:val="22"/>
          <w:strike w:val="true"/>
        </w:rPr>
        <w:t>IRA #</w:t>
      </w:r>
      <w:r w:rsidR="00BA4717" w:rsidRPr="000B439E">
        <w:rPr>
          <w:color w:val="auto"/>
          <w:sz w:val="22"/>
          <w:szCs w:val="22"/>
          <w:u w:val="single"/>
          <w:strike w:val="true"/>
        </w:rPr>
        <w:t>61077178</w:t>
      </w:r>
    </w:p>
    <w:p>
      <w:pPr>
        <w:pStyle w:val="Heading1"/>
        <w:keepNext w:val="0"/>
        <w:keepLines w:val="0"/>
        <w:widowControl w:val="0"/>
        <w:spacing w:before="0"/>
        <w:ind w:left="3240"/>
        <w:jc w:val="left"/>
        <w:rPr>
          <w:color w:val="auto"/>
          <w:sz w:val="22"/>
          <w:szCs w:val="22"/>
          <w:u w:val="single"/>
        </w:rPr>
      </w:pPr>
      <w:r>
        <w:rPr>
          <w:color w:val="C00000"/>
        </w:rPr>
        <w:t xml:space="preserve">BYH V2 NOTE: This retirement-account signature/member label is inapplicable. Use Browning Family Trust and Wesley Dale Browning Manager signature language after confirming authority.</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Jeanette W.</w:t>
      </w:r>
      <w:r w:rsidR="00D460C9" w:rsidRPr="003B1E57">
        <w:rPr>
          <w:b w:val="0"/>
          <w:bCs w:val="0"/>
          <w:color w:val="auto"/>
          <w:sz w:val="22"/>
          <w:szCs w:val="22"/>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pPr>
        <w:pStyle w:val="Heading1"/>
        <w:keepNext w:val="0"/>
        <w:keepLines w:val="0"/>
        <w:widowControl w:val="0"/>
        <w:rPr>
          <w:color w:val="auto"/>
        </w:rPr>
      </w:pPr>
      <w:r>
        <w:rPr>
          <w:color w:val="C00000"/>
        </w:rPr>
        <w:t xml:space="preserve">BYH V2 NOTE: Exhibit A should identify Browning Family Trust as beneficiary/beneficial ownership reference and, if confirmed, the sole Member holding 100%.</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pPr>
        <w:pStyle w:val="Heading1"/>
      </w:pPr>
      <w:r>
        <w:rPr>
          <w:color w:val="C00000"/>
        </w:rPr>
        <w:t xml:space="preserve">BYH V2 Open Confirmation Items</w:t>
      </w:r>
    </w:p>
    <w:p>
      <w:r>
        <w:rPr>
          <w:color w:val="C00000"/>
        </w:rPr>
        <w:t xml:space="preserve">1. Confirm whether Browning Family Trust is the legal sole Member, beneficiary/beneficial owner, or both.</w:t>
      </w:r>
    </w:p>
    <w:p>
      <w:r>
        <w:rPr>
          <w:color w:val="C00000"/>
        </w:rPr>
        <w:t xml:space="preserve">2. Confirm the full legal trust name and signing authority.</w:t>
      </w:r>
    </w:p>
    <w:p>
      <w:r>
        <w:rPr>
          <w:color w:val="C00000"/>
        </w:rPr>
        <w:t xml:space="preserve">3. Confirm the S corporation election language and effective date with CPA/tax counsel.</w:t>
      </w:r>
    </w:p>
    <w:p>
      <w:r>
        <w:rPr>
          <w:color w:val="C00000"/>
        </w:rPr>
        <w:t xml:space="preserve">4. Review remaining plural-Member and buy-sell provisions for fit with a single-member LLC.</w:t>
      </w: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