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t>Prepared:  August 15, 2026</w:t>
      </w:r>
    </w:p>
    <w:p>
      <w:pPr>
        <w:spacing w:after="40"/>
        <w:ind w:left="115"/>
      </w:pPr>
      <w:r>
        <w:t>Version:  1.8</w:t>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Audience:  Keith, Wes, and Jenny</w:t>
      </w:r>
      <w:r>
        <w:rPr>
          <w:rFonts w:ascii="Calibri" w:hAnsi="Calibri" w:eastAsia="Calibri"/>
          <w:color w:val="1A1A1A"/>
          <w:sz w:val="21"/>
        </w:rPr>
      </w:r>
    </w:p>
    <w:p>
      <w:pPr>
        <w:pStyle w:val="Heading1"/>
      </w:pPr>
      <w:r>
        <w:t>Executive Summary</w:t>
      </w:r>
    </w:p>
    <w:p>
      <w:pPr/>
      <w:r>
        <w:t>Jenny's figures combine a $28,267 historical HELOC payoff and a $6,267 cure cost into one $34,534 deduction. After that deduction, the estimated sale result is negative $17,226 in the low-rehab scenario and negative $27,226 in the high-rehab scenario, before separate litigation expenses and any additional historical costs.</w:t>
      </w:r>
    </w:p>
    <w:p>
      <w:r>
        <w:br w:type="page"/>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Year of 2023</w:t>
            </w:r>
          </w:p>
        </w:tc>
        <w:tc>
          <w:tcPr>
            <w:tcW w:type="dxa" w:w="2550"/>
            <w:tcMar>
              <w:top w:w="100" w:type="dxa"/>
              <w:start w:w="120" w:type="dxa"/>
              <w:bottom w:w="100" w:type="dxa"/>
              <w:end w:w="120" w:type="dxa"/>
            </w:tcMar>
            <w:vAlign w:val="center"/>
          </w:tcPr>
          <w:p>
            <w:pPr/>
            <w:r>
              <w:t>Brynda's journals left in the house reinforce that she knew about the foreclosure, took an investor to her attorney for advice about an offer, understood that she had sold the property to Wes's company, documented rent due, and referred to what her landlord would think of improvements offered by a neighbor.</w:t>
            </w:r>
          </w:p>
        </w:tc>
        <w:tc>
          <w:tcPr>
            <w:tcW w:type="dxa" w:w="4210"/>
            <w:tcMar>
              <w:top w:w="100" w:type="dxa"/>
              <w:start w:w="120" w:type="dxa"/>
              <w:bottom w:w="100" w:type="dxa"/>
              <w:end w:w="120" w:type="dxa"/>
            </w:tcMar>
            <w:vAlign w:val="center"/>
          </w:tcPr>
          <w:p>
            <w:pPr/>
            <w:r>
              <w:t>Brynda's journals left in the house.</w:t>
            </w:r>
          </w:p>
        </w:tc>
        <w:tc>
          <w:tcPr>
            <w:tcW w:type="dxa" w:w="1300"/>
            <w:tcMar>
              <w:top w:w="100" w:type="dxa"/>
              <w:start w:w="120" w:type="dxa"/>
              <w:bottom w:w="100" w:type="dxa"/>
              <w:end w:w="120" w:type="dxa"/>
            </w:tcMar>
            <w:vAlign w:val="center"/>
          </w:tcPr>
          <w:p>
            <w:pPr/>
            <w:r>
              <w:t>Direct journal evidence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r>
              <w:t>Huston's testimony and related evidence describe Wilson's offer as approximately $140,000.</w:t>
            </w:r>
          </w:p>
        </w:tc>
        <w:tc>
          <w:tcPr>
            <w:tcW w:type="dxa" w:w="1300"/>
            <w:tcMar>
              <w:top w:w="100" w:type="dxa"/>
              <w:start w:w="120" w:type="dxa"/>
              <w:bottom w:w="100" w:type="dxa"/>
              <w:end w:w="120" w:type="dxa"/>
            </w:tcMar>
            <w:vAlign w:val="center"/>
            <w:shd w:fill="F7F9FA"/>
          </w:tcPr>
          <w:p>
            <w:pPr/>
            <w: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 xml:space="preserve">Wes did not meet Natalie until September 2024, approximately ten months after the acquisition and leaseback. By then the prior HELOC had been paid and the property had been refinanced, with proceeds reportedly used in the business on other properties. </w:t>
      </w:r>
      <w:r>
        <w:rPr>
          <w:rFonts w:ascii="Calibri" w:hAnsi="Calibri" w:eastAsia="Calibri"/>
          <w:b/>
          <w:i w:val="0"/>
          <w:color w:val="1A1A1A"/>
        </w:rPr>
        <w:t>(Wes &amp; Jenny noted: they personally guaranteed the current mortgage.)</w:t>
      </w:r>
    </w:p>
    <w:p>
      <w:pPr/>
      <w: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supports deliberation about both sale and continued possession. Brynda's journals also show that after signing the documents with Wes, she continued communicating with named investors and remained actively engaged in conversations with prospective buyers.</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pPr/>
      <w:r>
        <w:t>The defense raised potential Rule 11 concerns because claims allegedly relied on a power of attorney viewed as irrelevant to the sale. In plain terms, the concern is that the factual or legal basis for relying on that document may have been insufficient.</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pPr/>
      <w:r>
        <w:t>Rescission asks a court to unwind a transaction and attempt to restore the parties to their pre-transaction positions rather than simply award ordinary damages. The filed July 21, 2026 order denied Plaintiff's motion for summary judgment and granted Defendants' motion on every claim in the Amended Complaint except undue influence. Undue influence is therefore the only claim remaining for trial.</w:t>
      </w:r>
    </w:p>
    <w:p>
      <w:pPr/>
      <w: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Entered Order And Appeal</w:t>
      </w:r>
    </w:p>
    <w:p>
      <w:pPr/>
      <w:r>
        <w:t>The July 21, 2026 filed order removes fraud, Chapter 75, and every other claim in the Amended Complaint from trial except undue influence. Counsel should confirm the scope and timing of any appeal and identify any fee, cost, or sanctions issues that remain available after the entered order.</w:t>
      </w:r>
    </w:p>
    <w:p>
      <w:pPr>
        <w:pStyle w:val="Heading1"/>
      </w:pPr>
      <w:r>
        <w:t>Four Counsel-Review Credibility Issues</w:t>
      </w:r>
    </w:p>
    <w:p>
      <w:pPr>
        <w:pStyle w:val="Heading2"/>
      </w:pPr>
      <w:r>
        <w:t>1. Foreclosure Knowledge</w:t>
      </w:r>
    </w:p>
    <w:p>
      <w:pPr/>
      <w: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w:t>
      </w:r>
    </w:p>
    <w:p>
      <w:pPr>
        <w:pStyle w:val="Callout"/>
        <w:shd w:fill="EAF1F6"/>
        <w:pBdr>
          <w:left w:val="single" w:sz="18" w:space="8" w:color="2E5D7B"/>
        </w:pBdr>
      </w:pPr>
      <w:r>
        <w:rPr>
          <w:b/>
        </w:rPr>
        <w:t xml:space="preserve">RECOMMENDED WORDING. </w:t>
      </w:r>
      <w:r>
        <w:t>Natalie's account is difficult to reconcile with Huston's contemporaneous record and testimony.</w:t>
      </w:r>
    </w:p>
    <w:p>
      <w:pPr>
        <w:pStyle w:val="Heading2"/>
      </w:pPr>
      <w:r>
        <w:t>2. Guardian-Ad-Litem Position</w:t>
      </w:r>
    </w:p>
    <w:p>
      <w:r>
        <w:rPr>
          <w:rFonts w:ascii="Calibri" w:hAnsi="Calibri" w:eastAsia="Calibri"/>
          <w:b w:val="0"/>
          <w:i w:val="0"/>
          <w:color w:val="1A1A1A"/>
        </w:rPr>
        <w:t>Natalie's GAL petition represented that she was disinterested. The September 30, 2024 will, however, gives the residue of Brynda's estate to Natalie outright and names Natalie as personal representative. Huston's testimony establishes that Natalie and her husband brought Brynda to his office when the will was executed. (Wes noted: Natalie also directed the will's formation and knew of her resulting interest when the GAL petition was filed; that direction and state-of-mind assertion require confirmation from the underlying communications or testimony.) The GAL appointment was later vacated after a defense challenge concerning notice, hearing, and the lack of an incompetency finding.</w:t>
      </w:r>
    </w:p>
    <w:p>
      <w:pPr>
        <w:pStyle w:val="Callout"/>
        <w:shd w:fill="EAF1F6"/>
        <w:pBdr>
          <w:left w:val="single" w:sz="18" w:space="8" w:color="2E5D7B"/>
        </w:pBdr>
      </w:pPr>
      <w:r>
        <w:rPr>
          <w:b/>
        </w:rPr>
        <w:t xml:space="preserve">RECOMMENDED WORDING. </w:t>
      </w:r>
      <w:r>
        <w:t>The disinterested-status assertion is difficult to reconcile with the will's direct benefit to Natalie, her nomination as personal representative, and her participation in bringing Brynda to Huston's office. This creates a legitimate credibility and process issue.</w:t>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pPr>
        <w:pStyle w:val="Heading2"/>
      </w:pPr>
      <w:r>
        <w:t>4. Brynda's Position Versus Natalie's Litigation Position</w:t>
      </w:r>
    </w:p>
    <w:p>
      <w:pPr/>
      <w:r>
        <w:t>Brynda's deposition testimony indicates that she did not understand the lawsuit or the coercion allegation. That testimony conflicts with presenting the litigation as a clear expression of Brynda's own informed position.</w:t>
      </w:r>
    </w:p>
    <w:p>
      <w:pPr>
        <w:pStyle w:val="Callout"/>
      </w:pPr>
      <w:r>
        <w:t>RECOMMENDED WORDING. Brynda's own testimony creates a material discrepancy between her understanding of the case and the litigation position advanced in her name.</w:t>
      </w:r>
    </w:p>
    <w:p>
      <w:pPr>
        <w:pStyle w:val="Heading2"/>
      </w:pPr>
      <w:r>
        <w:t>Supporting Discrepancies</w:t>
      </w:r>
    </w:p>
    <w:p>
      <w:pPr>
        <w:pStyle w:val="ListBullet"/>
      </w:pPr>
      <w:r>
        <w:t>Natalie verified a complaint-related GAL petition despite lacking firsthand knowledge of the transaction.</w:t>
      </w:r>
    </w:p>
    <w:p>
      <w:pPr>
        <w:pStyle w:val="ListBullet"/>
      </w:pPr>
      <w:r>
        <w:t>Natalie could not identify a factual basis for the allegation of harsh language.</w:t>
      </w:r>
    </w:p>
    <w:p>
      <w:pPr>
        <w:pStyle w:val="ListBullet"/>
      </w:pPr>
      <w:r>
        <w:t>Natalie used 'coerced' to mean 'misled' and could not identify when the alleged conduct occurred.</w:t>
      </w:r>
    </w:p>
    <w:p>
      <w:pPr>
        <w:pStyle w:val="ListBullet"/>
      </w:pPr>
      <w:r>
        <w:t>Natalie had no written loan representation, had not investigated ordinary loan terms, and had not reviewed important lease provisions before advancing loan-related allegations.</w:t>
      </w:r>
    </w:p>
    <w:p>
      <w:pPr>
        <w:pStyle w:val="ListBullet"/>
      </w:pPr>
      <w:r>
        <w:t>The GAL appointment was obtained without an identified incompetency hearing or finding and was later vacated.</w:t>
      </w:r>
    </w:p>
    <w:p>
      <w:r>
        <w:br w:type="page"/>
      </w:r>
    </w:p>
    <w:p>
      <w:pPr>
        <w:pStyle w:val="Heading1"/>
      </w:pPr>
      <w:r>
        <w:t>Financial Presentation</w:t>
      </w:r>
    </w:p>
    <w:p>
      <w:pPr>
        <w:pStyle w:val="Heading2"/>
      </w:pPr>
      <w:r>
        <w:t>Estimated Sale Cash Flow Including HELOC And Cure Costs</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t>Less historical HELOC payoff and cure costs</w:t>
            </w:r>
          </w:p>
        </w:tc>
        <w:tc>
          <w:tcPr>
            <w:tcW w:type="dxa" w:w="2430"/>
            <w:tcMar>
              <w:top w:w="100" w:type="dxa"/>
              <w:start w:w="120" w:type="dxa"/>
              <w:bottom w:w="100" w:type="dxa"/>
              <w:end w:w="120" w:type="dxa"/>
            </w:tcMar>
            <w:vAlign w:val="center"/>
          </w:tcPr>
          <w:p>
            <w:pPr>
              <w:spacing w:before="0" w:after="0" w:line="240" w:lineRule="auto"/>
              <w:jc w:val="right"/>
            </w:pPr>
            <w:r>
              <w:t>($34,534)</w:t>
            </w:r>
          </w:p>
        </w:tc>
        <w:tc>
          <w:tcPr>
            <w:tcW w:type="dxa" w:w="2430"/>
            <w:tcMar>
              <w:top w:w="100" w:type="dxa"/>
              <w:start w:w="120" w:type="dxa"/>
              <w:bottom w:w="100" w:type="dxa"/>
              <w:end w:w="120" w:type="dxa"/>
            </w:tcMar>
            <w:vAlign w:val="center"/>
          </w:tcPr>
          <w:p>
            <w:pPr>
              <w:spacing w:before="0" w:after="0" w:line="240" w:lineRule="auto"/>
              <w:jc w:val="right"/>
            </w:pPr>
            <w:r>
              <w:t>($34,534)</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b/>
              </w:rPr>
              <w:t>Estimated net position at sale</w:t>
            </w:r>
          </w:p>
        </w:tc>
        <w:tc>
          <w:tcPr>
            <w:tcW w:type="dxa" w:w="2430"/>
            <w:tcMar>
              <w:top w:w="100" w:type="dxa"/>
              <w:start w:w="120" w:type="dxa"/>
              <w:bottom w:w="100" w:type="dxa"/>
              <w:end w:w="120" w:type="dxa"/>
            </w:tcMar>
            <w:vAlign w:val="center"/>
          </w:tcPr>
          <w:p>
            <w:pPr>
              <w:spacing w:before="0" w:after="0" w:line="240" w:lineRule="auto"/>
              <w:jc w:val="right"/>
            </w:pPr>
            <w:r>
              <w:rPr>
                <w:b/>
              </w:rPr>
              <w:t>($17,226)</w:t>
            </w:r>
          </w:p>
        </w:tc>
        <w:tc>
          <w:tcPr>
            <w:tcW w:type="dxa" w:w="2430"/>
            <w:tcMar>
              <w:top w:w="100" w:type="dxa"/>
              <w:start w:w="120" w:type="dxa"/>
              <w:bottom w:w="100" w:type="dxa"/>
              <w:end w:w="120" w:type="dxa"/>
            </w:tcMar>
            <w:vAlign w:val="center"/>
          </w:tcPr>
          <w:p>
            <w:pPr>
              <w:spacing w:before="0" w:after="0" w:line="240" w:lineRule="auto"/>
              <w:jc w:val="right"/>
            </w:pPr>
            <w:r>
              <w:rPr>
                <w:b/>
              </w:rPr>
              <w:t>($27,226)</w:t>
            </w:r>
          </w:p>
        </w:tc>
      </w:tr>
    </w:tbl>
    <w:p>
      <w:pPr>
        <w:spacing w:after="40"/>
      </w:pPr>
    </w:p>
    <w:p>
      <w:pPr/>
      <w:r>
        <w:t>The table combines the $28,267 historical HELOC payoff and $6,267 cure cost into one $34,534 deduction. The resulting estimate is negative $17,226 to negative $27,226 before separate litigation expenses and any additional historical costs.</w:t>
      </w:r>
    </w:p>
    <w:p>
      <w:pPr>
        <w:pStyle w:val="Heading1"/>
      </w:pPr>
      <w:r>
        <w:t>Equity, Creditor Priority, Bankruptcy, And Collectability</w:t>
      </w:r>
    </w:p>
    <w:p>
      <w:pPr/>
      <w:r>
        <w:t>The defense position is that legal expense has consumed the property's economic benefit and no settlement equity will remain after rehabilitation and sale. After the combined $34,534 historical HELOC-and-cure deduction, the current figures estimate a negative $17,226 to negative $27,226 sale position before separate litigation expenses and any additional historical costs.</w:t>
      </w:r>
    </w:p>
    <w:p>
      <w:pPr/>
      <w:r>
        <w:t>A secured creditor generally looks first to its collateral, while an unsecured claimant may recover only from value remaining after valid secured claims and applicable costs.</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t>Present the mortgage, combined HELOC-and-cure deduction, rehab, carrying-cost, and legal-expense records.</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Heading1"/>
        <w:pageBreakBefore/>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p>
      <w:pPr>
        <w:pStyle w:val="ListBullet"/>
      </w:pPr>
      <w:r>
        <w:t>25-09-12 BGriffith Will Exhibit 13 Huston, Kevin Job# 303627.pdf</w:t>
      </w:r>
    </w:p>
    <w:p>
      <w:pPr>
        <w:pStyle w:val="ListBullet"/>
      </w:pPr>
      <w:r>
        <w:t>Wes's August 10, 2026 instruction email concerning journal and guardian-ad-litem additions.</w:t>
      </w:r>
    </w:p>
    <w:p>
      <w:pPr>
        <w:pStyle w:val="ListBullet"/>
      </w:pPr>
      <w:r>
        <w:t>26-07-21 Judges Order on Summary Judgment.pdf (filed July 21, 2026)</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2026-08-15  |  Version 1.8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2026-08-15  |  Version 1.8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2026-08-15  |  Version 1.8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2026-08-14T17:23:16Z</dcterms:modified>
  <cp:category/>
</cp:coreProperties>
</file>