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UPDATED CREDITWORTHINESS EVALUATION REPORT</w:t>
      </w:r>
    </w:p>
    <w:p>
      <w:r>
        <w:t>Document-preparation readiness rerun for Ever Amarildo Cardoza Bolanos and Maria Geraldina Sarmiento, 320 Rose Pl, Wendell, North Carolina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top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/>
              </w:rPr>
              <w:t>Investment Services, LLC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Report date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June 11, 2026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Subject buyer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Ever Amarildo Cardoza Bolanos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Additional signing buyer from spreadsheet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Maria Geraldina Sarmiento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Property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320 Rose Pl, Wendell, NC 27591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Purpose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Current evidence rerun for Sell Your Home, LLC document-preparation decision and Contract for Deed closing-package support.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Overall result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Ready for document preparation; closing execution remains subject to required affidavits, funds proof, final legal-name/spelling confirmation, and attorney/compliance review.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</w:tcPr>
          <w:p>
            <w:r/>
            <w:r>
              <w:rPr>
                <w:b/>
              </w:rPr>
              <w:t>Executive Recommendation</w:t>
            </w:r>
          </w:p>
        </w:tc>
      </w:tr>
      <w:tr>
        <w:tc>
          <w:tcPr>
            <w:tcW w:type="dxa" w:w="10224"/>
            <w:vAlign w:val="top"/>
          </w:tcPr>
          <w:p>
            <w:r/>
            <w:r>
              <w:rPr>
                <w:b w:val="0"/>
              </w:rPr>
              <w:t>Proceed with Contract for Deed document preparation. The current file is supportable for document preparation based on verified rent history with related company Buy Your Home, LLC, satisfactory screening/credit indicators, observed business cash flow, and affidavit-supported business judgment. The file should not be marked ready for closing execution until closing deliverables are completed, funds-to-close are proved or accepted by the closing process, buyer name spelling is confirmed, and counsel/compliance review confirms the seller-financing and Contract for Deed package.</w:t>
            </w:r>
          </w:p>
        </w:tc>
      </w:tr>
    </w:tbl>
    <w:p>
      <w:pPr>
        <w:pStyle w:val="Heading1"/>
      </w:pPr>
      <w:r>
        <w:t>1. What Changed In This Rerun</w:t>
      </w:r>
    </w:p>
    <w:p>
      <w:r>
        <w:t>This rerun uses the refreshed buyer source mirror copied from the Teams buyer folder on June 11, 2026. Four newer files were copied into the project-room source mirror, primarily current Contract Package email/report materials. No new tax return, profit-and-loss statement, payroll record, owner-draw analysis, or final funds-to-close proof was identified in the refreshed source set.</w:t>
      </w:r>
    </w:p>
    <w:p>
      <w:r>
        <w:t>The live project spreadsheet was rechecked. It identifies Ever Amarildo Cardoza Bolanos as Selling-Buyer1 and Maria Geraldina Sarmiento as Selling-Buyer2. It shows Sell Your Home, LLC as seller, a purchase price of $346,500, loan amount of $325,710, monthly payment of $2,504.43, and manager field of Jose Fabre Jr. Older materials that used different manager or name-spelling language should be treated as requiring final authority/name review before execution.</w:t>
      </w:r>
    </w:p>
    <w:p>
      <w:pPr>
        <w:pStyle w:val="Heading1"/>
      </w:pPr>
      <w:r>
        <w:t>2. 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top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/>
              </w:rPr>
              <w:t>Current source value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1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Ever Amarildo Cardoza Bolanos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2 / signing buyer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Maria Geraldina Sarmiento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address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4121 Tensity Dr, Raleigh, NC 27604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Seller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Sell Your Home, LLC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Property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320 Rose Pl, Wendell, NC 27591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County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Wake County, North Carolina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Purchase price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$346,500.00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Earnest money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$6,000.00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Down payment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$20,790.00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Loan amount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$325,710.00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Monthly payment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$2,504.43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Loan start / end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July 1, 2026 / June 1, 2056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Trustee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Investment Services LLC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Manager field in spreadsheet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Jose Fabre Jr.</w:t>
            </w:r>
          </w:p>
        </w:tc>
      </w:tr>
    </w:tbl>
    <w:p>
      <w:pPr>
        <w:pStyle w:val="Heading1"/>
      </w:pPr>
      <w:r>
        <w:t>3. Screening Strengths</w:t>
      </w:r>
    </w:p>
    <w:p>
      <w:r>
        <w:t>The Zillow screening materials identify Ever Amarildo Cardoza as identity verified, self-employed, and residing at 4121 Tensity Dr since June 1, 2025. The stated monthly self-employment income is $9,500. Screening shows no pets and a stated move reason of buying a house.</w:t>
      </w:r>
    </w:p>
    <w:p>
      <w:r>
        <w:t>The credit report dated June 5, 2026 shows a 706 VantageScore 4.0, 100% on-time payments, no collections found, and no bankruptcies found. Reported monthly debt payments are $2,162, with total debt of $86,790. The positive credit history is a meaningful compensating factor, but the auto-loan debt load remains material.</w:t>
      </w:r>
    </w:p>
    <w:p>
      <w:pPr>
        <w:pStyle w:val="Heading1"/>
      </w:pPr>
      <w:r>
        <w:t>4. Ability-To-Repay Findings</w:t>
      </w:r>
    </w:p>
    <w:p>
      <w:r>
        <w:t>On strict underwriting evidence, borrower-level net self-employment income remains incompletely documented because the file still lacks tax returns, a profit-and-loss statement, payroll records, or an owner-draw analysis. The evaluator should not convert gross business receipts into verified personal net income without those records.</w:t>
      </w:r>
    </w:p>
    <w:p>
      <w:r>
        <w:t>For document-preparation readiness, the file remains supportable because the proposed housing payment is only $654.43 above the verified related-company rent of $1,850, the buyer has a direct rent-payment track record with Buy Your Home, LLC, and the available business records show sustained gross activity sufficient to support a business-judgment review. This is not the same as final closing execution approval.</w:t>
      </w:r>
    </w:p>
    <w:p>
      <w:pPr>
        <w:pStyle w:val="Heading1"/>
      </w:pPr>
      <w:r>
        <w:t>5. 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top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/>
              </w:rPr>
              <w:t>Current evidence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Applicant-stated self-employed income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$9,500.00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Business bank statements reviewed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17 statement periods summarized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Average business deposits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$27,773.92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Average business withdrawals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$27,622.03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Total business deposits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$472,156.56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Total business withdrawals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$469,574.46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Latest business ending balance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$5,058.11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Personal bank statements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12 statement periods; average deposits $2,040.14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Receipts/receivables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Receipt packages support gross receipts only; they do not establish borrower-level net income by themselves.</w:t>
            </w:r>
          </w:p>
        </w:tc>
      </w:tr>
    </w:tbl>
    <w:p>
      <w:r>
        <w:t>The business account activity is consistent with an active operating business, but the same records also show business withdrawals nearly equal to deposits. That pattern supports the need for business-judgment documentation, affidavit support, and attorney/compliance review rather than a clean income-verification approval.</w:t>
      </w:r>
    </w:p>
    <w:p>
      <w:pPr>
        <w:pStyle w:val="Heading1"/>
      </w:pPr>
      <w:r>
        <w:t>6. 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top"/>
          </w:tcPr>
          <w:p>
            <w:r/>
            <w:r>
              <w:rPr>
                <w:b/>
              </w:rPr>
              <w:t>Debt item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/>
              </w:rPr>
              <w:t>Amount / status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Credit-report estimated monthly payments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$2,162.00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Total reported debt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$86,790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Collections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None found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Bankruptcies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None found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Current rent verified by related company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$1,850.00 per month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Increase from verified rent to proposed payment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$654.43 per month</w:t>
            </w:r>
          </w:p>
        </w:tc>
      </w:tr>
    </w:tbl>
    <w:p>
      <w:r>
        <w:t>The debt load is high enough that a strict debt-to-income view depends heavily on the stated income figure and the business-judgment treatment of nonstandard income evidence.</w:t>
      </w:r>
    </w:p>
    <w:p>
      <w:pPr>
        <w:pStyle w:val="Heading1"/>
      </w:pPr>
      <w:r>
        <w:t>7. 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032"/>
            <w:vAlign w:val="top"/>
          </w:tcPr>
          <w:p>
            <w:r/>
            <w:r>
              <w:rPr>
                <w:b/>
              </w:rPr>
              <w:t>Ratio test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/>
              </w:rPr>
              <w:t>Calculation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Housing ratio using stated income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$2,504.43 / $9,500.00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26.4%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Back-end ratio using stated income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($2,504.43 + $2,162.00) / $9,500.00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49.1%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Increase over verified rent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$2,504.43 - $1,850.00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$654.43</w:t>
            </w:r>
          </w:p>
        </w:tc>
      </w:tr>
    </w:tbl>
    <w:p>
      <w:r>
        <w:t>Using stated income, the back-end ratio is approximately 49.1%. That ratio is elevated, but it is not by itself a document-preparation stop when the seller/business decides to proceed based on the buyer's verified rent history, credit performance, and required closing affidavits. It remains a compliance and business-judgment issue for final review.</w:t>
      </w:r>
    </w:p>
    <w:p>
      <w:pPr>
        <w:pStyle w:val="Heading1"/>
      </w:pPr>
      <w:r>
        <w:t>8. Cash To Close And Reserves</w:t>
      </w:r>
    </w:p>
    <w:p>
      <w:r>
        <w:t>The spreadsheet requires $6,000 earnest money and total down payment of $20,790. Current support materials include an affidavit package addressing observed cash, receivables, and foreign-fund access, but the file still needs final funds-to-close proof or closing-accepted handling before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top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Earnest money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Spreadsheet shows $6,000; final proof/receipt handling still required.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Remaining down payment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Total down payment shown as $20,790; final closing proof still required.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Cash/reserve observation affidavit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Useful support if signed/notarized and accepted by counsel/closing process.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Receivables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Do not count as liquid reserves unless collection is proved or accepted by closing reviewer.</w:t>
            </w:r>
          </w:p>
        </w:tc>
      </w:tr>
    </w:tbl>
    <w:p>
      <w:pPr>
        <w:pStyle w:val="Heading1"/>
      </w:pPr>
      <w:r>
        <w:t>9.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</w:tcPr>
          <w:p>
            <w:r/>
            <w:r>
              <w:rPr>
                <w:b/>
              </w:rPr>
              <w:t>Decision</w:t>
            </w:r>
          </w:p>
        </w:tc>
      </w:tr>
      <w:tr>
        <w:tc>
          <w:tcPr>
            <w:tcW w:type="dxa" w:w="10224"/>
            <w:vAlign w:val="top"/>
          </w:tcPr>
          <w:p>
            <w:r/>
            <w:r>
              <w:rPr>
                <w:b w:val="0"/>
              </w:rPr>
              <w:t>Credit/evaluation status: supportable for document preparation under a business-judgment and closing-deliverables approach. Closing-package readiness status: Ready for document preparation. Not ready for closing execution until listed closing deliverables and legal/compliance review are complete.</w:t>
            </w:r>
          </w:p>
        </w:tc>
      </w:tr>
    </w:tbl>
    <w:p>
      <w:pPr>
        <w:pStyle w:val="Heading1"/>
      </w:pPr>
      <w:r>
        <w:t>10. Conditions Or Documents Required Before Approval/Closing</w:t>
      </w:r>
    </w:p>
    <w:p>
      <w:pPr>
        <w:pStyle w:val="ListBullet"/>
      </w:pPr>
      <w:r>
        <w:t>Signed/notarized support affidavits or counsel-approved substitutes.</w:t>
      </w:r>
    </w:p>
    <w:p>
      <w:pPr>
        <w:pStyle w:val="ListBullet"/>
      </w:pPr>
      <w:r>
        <w:t>Final proof or closing-accepted handling for earnest money, down payment, closing costs, and any expected post-closing reserves.</w:t>
      </w:r>
    </w:p>
    <w:p>
      <w:pPr>
        <w:pStyle w:val="ListBullet"/>
      </w:pPr>
      <w:r>
        <w:t>Final legal-name spelling confirmation for Ever Amarildo Cardoza Bolanos and Maria Geraldina Sarmiento.</w:t>
      </w:r>
    </w:p>
    <w:p>
      <w:pPr>
        <w:pStyle w:val="ListBullet"/>
      </w:pPr>
      <w:r>
        <w:t>Resolution of any signature-authority conflict created by spreadsheet manager fields versus affidavit or prior workflow materials.</w:t>
      </w:r>
    </w:p>
    <w:p>
      <w:pPr>
        <w:pStyle w:val="ListBullet"/>
      </w:pPr>
      <w:r>
        <w:t>Attorney/compliance review of seller-financing, ability-to-repay, disclosure, state Contract for Deed, title, recording, notice, and adverse-action issues.</w:t>
      </w:r>
    </w:p>
    <w:p>
      <w:pPr>
        <w:pStyle w:val="Heading1"/>
      </w:pPr>
      <w:r>
        <w:t>11. 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vAlign w:val="top"/>
          </w:tcPr>
          <w:p>
            <w:r/>
            <w:r>
              <w:rPr>
                <w:b/>
              </w:rPr>
              <w:t>Requested item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Related-Company Rent Payment History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rent history with Buy Your Home, LLC and related-company limitation.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relied 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Cash Reserves and Receivables Observation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Supports observed cash/reserve/receivable facts without overstating collection or transfer.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or substitute proof needed.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Receipt Package Review and Acceptance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business acceptance of paid receipts as gross-receipt support, not net-income proof.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receipts are relied 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Business Judgment Approval Direction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management decision to proceed despite nonstandard income proof and elevated back-end ratio.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management proceeds on this basis; update payment/authority values before final use.</w:t>
            </w:r>
          </w:p>
        </w:tc>
      </w:tr>
    </w:tbl>
    <w:p>
      <w:r>
        <w:t>The file is ready for CFD document preparation. The affidavits and final proof items should be treated as closing deliverables or final-execution conditions, not blockers to preparing the closing package.</w:t>
      </w:r>
    </w:p>
    <w:p>
      <w:pPr>
        <w:pStyle w:val="Heading1"/>
      </w:pPr>
      <w:r>
        <w:t>12. Legal/Compliance Review Items</w:t>
      </w:r>
    </w:p>
    <w:p>
      <w:pPr>
        <w:pStyle w:val="ListBullet"/>
      </w:pPr>
      <w:r>
        <w:t>Confirm whether the transaction is subject to TILA/Regulation Z, Dodd-Frank ability-to-repay requirements, and/or any seller-financer exclusion.</w:t>
      </w:r>
    </w:p>
    <w:p>
      <w:pPr>
        <w:pStyle w:val="ListBullet"/>
      </w:pPr>
      <w:r>
        <w:t>Confirm North Carolina Contract for Deed requirements, recording/notice duties, title/adverse-condition handling, and disclosure package sufficiency.</w:t>
      </w:r>
    </w:p>
    <w:p>
      <w:pPr>
        <w:pStyle w:val="ListBullet"/>
      </w:pPr>
      <w:r>
        <w:t>Confirm seller, trust/trustee, manager, and exact signature authority for Sell Your Home, LLC / Investment Services LLC / project spreadsheet fields.</w:t>
      </w:r>
    </w:p>
    <w:p>
      <w:pPr>
        <w:pStyle w:val="ListBullet"/>
      </w:pPr>
      <w:r>
        <w:t>Confirm whether adverse-action notice or similar documentation is needed if any term or approval condition is considered less favorable than requested.</w:t>
      </w:r>
    </w:p>
    <w:p>
      <w:pPr>
        <w:pStyle w:val="Heading1"/>
      </w:pPr>
      <w:r>
        <w:t>13. Recommended Next Step</w:t>
      </w:r>
    </w:p>
    <w:p>
      <w:r>
        <w:t>Proceed with preparation of the Contract for Deed closing package, including the listed affidavit/support deliverables. Before execution, obtain final funds proof or closing-accepted substitute documentation, confirm buyer legal names and signature roles, resolve manager/signature authority, and complete attorney/compliance review.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