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 xml:space="preserve">A Member can’t leave or transfer their Units without unanimous approval. If a </w:t>
      </w:r>
      <w:proofErr w:type="gramStart"/>
      <w:r w:rsidR="005D2624" w:rsidRPr="009B221C">
        <w:rPr>
          <w:color w:val="0070C0"/>
        </w:rPr>
        <w:t>Member</w:t>
      </w:r>
      <w:proofErr w:type="gramEnd"/>
      <w:r w:rsidR="005D2624" w:rsidRPr="009B221C">
        <w:rPr>
          <w:color w:val="0070C0"/>
        </w:rPr>
        <w:t xml:space="preserve">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w:t>
      </w:r>
      <w:proofErr w:type="gramStart"/>
      <w:r w:rsidR="005D2624" w:rsidRPr="00EC5FD3">
        <w:rPr>
          <w:bCs w:val="0"/>
          <w:color w:val="0070C0"/>
        </w:rPr>
        <w:t>Member</w:t>
      </w:r>
      <w:proofErr w:type="gramEnd"/>
      <w:r w:rsidR="005D2624" w:rsidRPr="00EC5FD3">
        <w:rPr>
          <w:bCs w:val="0"/>
          <w:color w:val="0070C0"/>
        </w:rPr>
        <w:t xml:space="preserve">—but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w:t>
      </w:r>
      <w:proofErr w:type="gramStart"/>
      <w:r w:rsidR="002F3CE8" w:rsidRPr="002F3CE8">
        <w:rPr>
          <w:color w:val="0070C0"/>
        </w:rPr>
        <w:t>all of</w:t>
      </w:r>
      <w:proofErr w:type="gramEnd"/>
      <w:r w:rsidR="002F3CE8" w:rsidRPr="002F3CE8">
        <w:rPr>
          <w:color w:val="0070C0"/>
        </w:rPr>
        <w:t xml:space="preserve">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w:t>
      </w:r>
      <w:proofErr w:type="gramStart"/>
      <w:r w:rsidR="002F3CE8" w:rsidRPr="002F3CE8">
        <w:rPr>
          <w:color w:val="0070C0"/>
        </w:rPr>
        <w:t>Member</w:t>
      </w:r>
      <w:proofErr w:type="gramEnd"/>
      <w:r w:rsidR="002F3CE8" w:rsidRPr="002F3CE8">
        <w:rPr>
          <w:color w:val="0070C0"/>
        </w:rPr>
        <w:t xml:space="preserve"> or an Account Holder, the Company has the right, but not the obligation, to purchase the Units within 90 days. The purchase price must be </w:t>
      </w:r>
      <w:proofErr w:type="gramStart"/>
      <w:r w:rsidR="002F3CE8" w:rsidRPr="002F3CE8">
        <w:rPr>
          <w:color w:val="0070C0"/>
        </w:rPr>
        <w:t>determined</w:t>
      </w:r>
      <w:proofErr w:type="gramEnd"/>
      <w:r w:rsidR="002F3CE8" w:rsidRPr="002F3CE8">
        <w:rPr>
          <w:color w:val="0070C0"/>
        </w:rPr>
        <w:t xml:space="preserve">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sidRPr="005F312E">
        <w:rPr>
          <w:b/>
          <w:bCs w:val="0"/>
          <w:u w:val="single"/>
        </w:rPr>
        <w:t>Buy-Sell Rights After Death or Disability of Member or Account Holder.</w:t>
      </w:r>
      <w:r w:rsidR="00535973">
        <w:t xml:space="preserve"> </w:t>
      </w:r>
      <w:r w:rsidR="00535973" w:rsidRPr="00535973">
        <w:rPr>
          <w:color w:val="0070C0"/>
        </w:rPr>
        <w:t xml:space="preserve">If a </w:t>
      </w:r>
      <w:proofErr w:type="gramStart"/>
      <w:r w:rsidR="00535973" w:rsidRPr="00535973">
        <w:rPr>
          <w:color w:val="0070C0"/>
        </w:rPr>
        <w:t>Member</w:t>
      </w:r>
      <w:proofErr w:type="gramEnd"/>
      <w:r w:rsidR="00535973" w:rsidRPr="00535973">
        <w:rPr>
          <w:color w:val="0070C0"/>
        </w:rPr>
        <w:t xml:space="preserve">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sidRPr="00535973">
        <w:rPr>
          <w:i/>
          <w:iCs/>
          <w:color w:val="0070C0"/>
        </w:rPr>
        <w:t>Note: “Account Holder” means the beneficial owner of an IRA, HSA, or the Responsible Individual in a Coverdell ESA that is a Member of the Company.</w:t>
      </w:r>
      <w:r w:rsidRPr="00535973">
        <w:rPr>
          <w:color w:val="0070C0"/>
        </w:rPr>
        <w:t>)</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sectPr w:rsidR="00093DFD" w:rsidRPr="00303046" w:rsidSect="007F0586">
      <w:headerReference w:type="default" r:id="rId24"/>
      <w:footerReference w:type="default" r:id="rId2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 Id="rId24" Type="http://schemas.openxmlformats.org/officeDocument/2006/relationships/header" Target="header4.xml"/><Relationship Id="rId25"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