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w:t>
      </w:r>
      <w:proofErr w:type="gramStart"/>
      <w:r w:rsidRPr="00981DE6">
        <w:rPr>
          <w:color w:val="0070C0"/>
        </w:rPr>
        <w:t>on</w:t>
      </w:r>
      <w:proofErr w:type="gramEnd"/>
      <w:r w:rsidRPr="00981DE6">
        <w:rPr>
          <w:color w:val="0070C0"/>
        </w:rPr>
        <w:t xml:space="preserve">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 xml:space="preserve">Members can only contribute additional capital if the IRS provides written confirmation that it won’t violate prohibited transaction rules. Any approved </w:t>
      </w:r>
      <w:proofErr w:type="gramStart"/>
      <w:r w:rsidR="001233CB" w:rsidRPr="004B488C">
        <w:rPr>
          <w:color w:val="0070C0"/>
          <w:sz w:val="24"/>
          <w:szCs w:val="24"/>
        </w:rPr>
        <w:t>contributions</w:t>
      </w:r>
      <w:proofErr w:type="gramEnd"/>
      <w:r w:rsidR="001233CB" w:rsidRPr="004B488C">
        <w:rPr>
          <w:color w:val="0070C0"/>
          <w:sz w:val="24"/>
          <w:szCs w:val="24"/>
        </w:rPr>
        <w:t xml:space="preserve">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lastRenderedPageBreak/>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