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14, 2026</w:t>
      </w:r>
    </w:p>
    <w:p>
      <w:pPr>
        <w:spacing w:after="40"/>
        <w:ind w:left="115"/>
      </w:pPr>
      <w:r>
        <w:t>Version:  1.5</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r>
        <w:br w:type="page"/>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before separate litigation expenses and any additional historical costs.</w:t>
      </w:r>
    </w:p>
    <w:p>
      <w:pPr>
        <w:pStyle w:val="Heading2"/>
      </w:pPr>
      <w:r>
        <w:t>Avoiding Double Counting</w:t>
      </w:r>
    </w:p>
    <w:p>
      <w:pPr/>
      <w:r>
        <w:t>The current mortgage payoff and the combined historical HELOC-and-cure amount are separate deductions. If mortgage proceeds funded legal defense, the same legal spending should not also be deducted from the sale table without a tracing adjustment.</w:t>
      </w:r>
    </w:p>
    <w:p>
      <w:r>
        <w:rPr>
          <w:rFonts w:ascii="Calibri" w:hAnsi="Calibri" w:eastAsia="Calibri"/>
          <w:b w:val="0"/>
          <w:i w:val="0"/>
          <w:color w:val="1A1A1A"/>
        </w:rPr>
        <w:t>For mediation, use three ledgers:</w:t>
      </w:r>
    </w:p>
    <w:p>
      <w:pPr>
        <w:pStyle w:val="ListNumber"/>
        <w:numPr>
          <w:ilvl w:val="0"/>
          <w:numId w:val="10"/>
        </w:numPr>
      </w:pPr>
      <w:r>
        <w:t>Sale and lien cash flow: sale price, current lien payoff, commission, rehab, closing costs, and the combined historical HELOC-and-cure deduction.</w:t>
      </w:r>
    </w:p>
    <w:p>
      <w:pPr>
        <w:pStyle w:val="ListNumber"/>
        <w:numPr>
          <w:ilvl w:val="0"/>
          <w:numId w:val="10"/>
        </w:numPr>
      </w:pPr>
      <w:r>
        <w:t>Other historical property investment: acquisition consideration not already reflected in the combined deduction, taxes, insurance, carrying costs, and improvements.</w:t>
      </w:r>
    </w:p>
    <w:p>
      <w:pPr>
        <w:pStyle w:val="ListNumber"/>
        <w:numPr>
          <w:ilvl w:val="0"/>
          <w:numId w:val="10"/>
        </w:numPr>
      </w:pPr>
      <w:r>
        <w:rPr>
          <w:rFonts w:ascii="Calibri" w:hAnsi="Calibri" w:eastAsia="Calibri"/>
          <w:b/>
          <w:i w:val="0"/>
          <w:color w:val="1A1A1A"/>
          <w:sz w:val="22"/>
        </w:rPr>
        <w:t>Litigation expense:</w:t>
      </w:r>
      <w:r>
        <w:rPr>
          <w:rFonts w:ascii="Calibri" w:hAnsi="Calibri" w:eastAsia="Calibri"/>
          <w:b w:val="0"/>
          <w:i w:val="0"/>
          <w:color w:val="1A1A1A"/>
          <w:sz w:val="22"/>
        </w:rPr>
        <w:t xml:space="preserve"> legal fees, experts, lost time, and documented losses, adjusted to avoid counting mortgage-funded expenditures twice.</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Callout"/>
        <w:shd w:fill="EAF1F6"/>
        <w:pBdr>
          <w:left w:val="single" w:sz="18" w:space="8" w:color="2E5D7B"/>
        </w:pBdr>
      </w:pPr>
      <w:r>
        <w:rPr>
          <w:rFonts w:ascii="Calibri" w:hAnsi="Calibri" w:eastAsia="Calibri"/>
          <w:b/>
          <w:color w:val="19324D"/>
          <w:sz w:val="20"/>
        </w:rPr>
        <w:t xml:space="preserve">KEY CORRECTION. </w:t>
      </w:r>
      <w:r>
        <w:rPr>
          <w:rFonts w:ascii="Calibri" w:hAnsi="Calibri" w:eastAsia="Calibri"/>
          <w:b/>
          <w:i w:val="0"/>
          <w:color w:val="1A1A1A"/>
          <w:sz w:val="20"/>
        </w:rPr>
        <w:t>(Wes &amp; Jenny noted: the Poyner documents concern 320 Rose, not 115 Rosebrooks.)</w:t>
      </w:r>
      <w:r>
        <w:rPr>
          <w:rFonts w:ascii="Calibri" w:hAnsi="Calibri" w:eastAsia="Calibri"/>
          <w:b w:val="0"/>
          <w:i w:val="0"/>
          <w:color w:val="1A1A1A"/>
          <w:sz w:val="20"/>
        </w:rPr>
        <w:t xml:space="preserve"> The source inventory contains </w:t>
      </w:r>
      <w:r>
        <w:rPr>
          <w:rFonts w:ascii="Consolas" w:hAnsi="Consolas" w:eastAsia="Consolas"/>
          <w:color w:val="4D5B68"/>
          <w:sz w:val="19"/>
        </w:rPr>
        <w:t>25-09-17 320 Rose - Deed of Trust (Poyner) Draft.docx</w:t>
      </w:r>
      <w:r>
        <w:rPr>
          <w:rFonts w:ascii="Calibri" w:hAnsi="Calibri" w:eastAsia="Calibri"/>
          <w:b w:val="0"/>
          <w:i w:val="0"/>
          <w:color w:val="1A1A1A"/>
          <w:sz w:val="20"/>
        </w:rPr>
        <w:t xml:space="preserve"> and the corresponding promissory note. Poyner should not be presented as a secured creditor against Rosebrooks unless a recorded instrument or title review establishes that fact.</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ListBullet"/>
      </w:pPr>
      <w:r>
        <w:t>Journal pages supporting the broad 2023 knowledge, sale, rent, and landlord entries described by Wes.</w:t>
      </w:r>
    </w:p>
    <w:p>
      <w:pPr>
        <w:pStyle w:val="Heading1"/>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2026-08-14  |  Version 1.5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1.5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1.5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2026-08-14T17:09:05Z</dcterms:modified>
  <cp:category/>
</cp:coreProperties>
</file>