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A2540"/>
          <w:sz w:val="40"/>
        </w:rPr>
        <w:t>GLAB 927.6.1: Mastering LangChain for Advanced Language Model Applications</w:t>
      </w:r>
    </w:p>
    <w:p>
      <w:pPr>
        <w:spacing w:before="40" w:after="280"/>
        <w:jc w:val="center"/>
      </w:pPr>
      <w:r>
        <w:rPr>
          <w:rFonts w:ascii="Calibri" w:hAnsi="Calibri"/>
          <w:i/>
          <w:color w:val="505A69"/>
          <w:sz w:val="24"/>
        </w:rPr>
        <w:t>Comprehensive Lab Overview, Pipeline Architecture &amp; Execution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Course &amp; Module:</w:t>
            </w:r>
          </w:p>
        </w:tc>
        <w:tc>
          <w:tcPr>
            <w:tcW w:type="dxa" w:w="6768"/>
            <w:shd w:fill="FAFC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>Per Scholas — CAX-215 | Module 927: NLP &amp; LangChain</w:t>
            </w:r>
          </w:p>
        </w:tc>
      </w:tr>
      <w:tr>
        <w:tc>
          <w:tcPr>
            <w:tcW w:type="dxa" w:w="25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Student Name:</w:t>
            </w:r>
          </w:p>
        </w:tc>
        <w:tc>
          <w:tcPr>
            <w:tcW w:type="dxa" w:w="6768"/>
            <w:shd w:fill="FAFC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>Bolivar Vega</w:t>
            </w:r>
          </w:p>
        </w:tc>
      </w:tr>
      <w:tr>
        <w:tc>
          <w:tcPr>
            <w:tcW w:type="dxa" w:w="25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Date &amp; Term:</w:t>
            </w:r>
          </w:p>
        </w:tc>
        <w:tc>
          <w:tcPr>
            <w:tcW w:type="dxa" w:w="6768"/>
            <w:shd w:fill="FAFC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>September 21, 2026 | Fall 2026 Cohort</w:t>
            </w:r>
          </w:p>
        </w:tc>
      </w:tr>
      <w:tr>
        <w:tc>
          <w:tcPr>
            <w:tcW w:type="dxa" w:w="25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Validation Status:</w:t>
            </w:r>
          </w:p>
        </w:tc>
        <w:tc>
          <w:tcPr>
            <w:tcW w:type="dxa" w:w="6768"/>
            <w:shd w:fill="FAFC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7C41"/>
                <w:sz w:val="20"/>
              </w:rPr>
              <w:t>Validated Successfully (All 4 Tasks Exited with Code 0)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A2540"/>
          <w:sz w:val="32"/>
        </w:rPr>
        <w:t>1. Executive Summary &amp; Objectives</w:t>
      </w:r>
    </w:p>
    <w:p>
      <w:pPr>
        <w:spacing w:after="120" w:line="276" w:lineRule="auto"/>
      </w:pPr>
      <w:r>
        <w:t>LangChain provides modular, composable abstractions to design, parameterize, and chain interactions with state-of-the-art Large Language Models (LLMs). This lab establishes a production-grade automated customer support pipeline utilizing LangChain Expression Language (LCEL) and Groq Cloud's ultra-low-latency LPU inference infrastructure. The pipeline transitions from simple single-turn prompt interactions to advanced multi-stage reasoning workflows that decompose, retrieve, and synthesize resolutions for real-world support inquiries.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API &amp; Security Setup: </w:t>
      </w:r>
      <w:r>
        <w:rPr>
          <w:rFonts w:ascii="Calibri" w:hAnsi="Calibri"/>
        </w:rPr>
        <w:t>Configure environment-based secret management for Groq API keys with runtime verification.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Tier-1 Deflection: </w:t>
      </w:r>
      <w:r>
        <w:rPr>
          <w:rFonts w:ascii="Calibri" w:hAnsi="Calibri"/>
        </w:rPr>
        <w:t>Implement system-prompted FAQ chains to handle repetitive inquiries without human overhead.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Multi-Stage LCEL Pipelines: </w:t>
      </w:r>
      <w:r>
        <w:rPr>
          <w:rFonts w:ascii="Calibri" w:hAnsi="Calibri"/>
        </w:rPr>
        <w:t>Engineer sequential chains (Extraction -&gt; Retrieval -&gt; Customer Response) via LCEL piping (|).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Enterprise Guardrails &amp; Evaluation: </w:t>
      </w:r>
      <w:r>
        <w:rPr>
          <w:rFonts w:ascii="Calibri" w:hAnsi="Calibri"/>
        </w:rPr>
        <w:t>Refine prompts with structured Markdown tables, entity constraints, and validate against diverse edge cases.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2540"/>
          <w:sz w:val="32"/>
        </w:rPr>
        <w:t>2. Technical Stack &amp; Architectural Design</w:t>
      </w:r>
    </w:p>
    <w:p>
      <w:pPr>
        <w:spacing w:after="120" w:line="276" w:lineRule="auto"/>
      </w:pPr>
      <w:r>
        <w:t>The architecture decouples the customer-facing interface from back-end database operations through a 3-tier sequential processing model. Each component executes specialized logic, preventing hallucinations and ensuring structured data flow across the application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  <w:shd w:fill="0A2540"/>
          </w:tcPr>
          <w:p>
            <w:pPr>
              <w:spacing w:after="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90" w:type="dxa"/>
              <w:right w:w="90" w:type="dxa"/>
            </w:tcMar>
            <w:shd w:fill="0A2540"/>
          </w:tcPr>
          <w:p>
            <w:pPr>
              <w:spacing w:after="0"/>
            </w:pPr>
            <w:r>
              <w:rPr>
                <w:b/>
                <w:color w:val="FFFFFF"/>
              </w:rPr>
              <w:t>Technology / Specification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  <w:color w:val="0A2540"/>
              </w:rPr>
              <w:t>Orchestration Framework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90" w:type="dxa"/>
              <w:right w:w="90" w:type="dxa"/>
            </w:tcMar>
            <w:shd w:fill="FAFCFD"/>
          </w:tcPr>
          <w:p>
            <w:pPr>
              <w:spacing w:after="0"/>
            </w:pPr>
            <w:r>
              <w:rPr>
                <w:color w:val="282828"/>
              </w:rPr>
              <w:t>LangChain v1.4+ (langchain-core, langchain-groq)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A2540"/>
              </w:rPr>
              <w:t>Inference Engine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color w:val="282828"/>
              </w:rPr>
              <w:t>Groq Cloud LPU — High Throughput, Sub-second TTFT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  <w:shd w:fill="F0F4F8"/>
          </w:tcPr>
          <w:p>
            <w:pPr>
              <w:spacing w:after="0"/>
            </w:pPr>
            <w:r>
              <w:rPr>
                <w:b/>
                <w:color w:val="0A2540"/>
              </w:rPr>
              <w:t>Active LLM Models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90" w:type="dxa"/>
              <w:right w:w="90" w:type="dxa"/>
            </w:tcMar>
            <w:shd w:fill="FAFCFD"/>
          </w:tcPr>
          <w:p>
            <w:pPr>
              <w:spacing w:after="0"/>
            </w:pPr>
            <w:r>
              <w:rPr>
                <w:color w:val="282828"/>
              </w:rPr>
              <w:t>openai/gpt-oss-20b (Primary) with dynamic fallback to qwen/qwen3.8-27b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A2540"/>
              </w:rPr>
              <w:t>Runtime &amp; Environment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color w:val="282828"/>
              </w:rPr>
              <w:t>Python 3.13 Virtual Environment (Module 927\.venv), python-dotenv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A2540"/>
          <w:sz w:val="32"/>
        </w:rPr>
        <w:t>3. Detailed Task Breakdown &amp; Implementation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508C"/>
          <w:sz w:val="26"/>
        </w:rPr>
        <w:t>Task 1: Secure API Key Configuration &amp; Client Initialization</w:t>
      </w:r>
    </w:p>
    <w:p>
      <w:pPr>
        <w:spacing w:after="80" w:line="276" w:lineRule="auto"/>
      </w:pPr>
      <w:r>
        <w:t>• Security Standard: API credentials were isolated in an untracked .env file (GROQ_API_KEY). The script checks for missing keys at runtime and logs masked tokens (e.g., gsk_GGLl...O5oV) to guarantee security during debugging.</w:t>
        <w:br/>
        <w:t>• Model Resilience: Because legacy Groq model identifiers (e.g., llama3-8b-8192) undergo retirement, an automatic fallback mechanism was integrated to guarantee continuous uptime across openai/gpt-oss-20b and qwen/qwen3.8-27b.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508C"/>
          <w:sz w:val="26"/>
        </w:rPr>
        <w:t>Task 2: Basic FAQ Customer Support Prompt Chains</w:t>
      </w:r>
    </w:p>
    <w:p>
      <w:pPr>
        <w:spacing w:after="80" w:line="276" w:lineRule="auto"/>
      </w:pPr>
      <w:r>
        <w:t>• Role Engineering: Deployed structured chat tuples [('system', persona), ('human', query)] to establish clear organizational constraints.</w:t>
        <w:br/>
        <w:t>• Verified Scenarios: Handled standard operating business hours ('What are your business hours?') and 30-day return policy clarifications with concise, polite, and brand-consistent answers.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508C"/>
          <w:sz w:val="26"/>
        </w:rPr>
        <w:t>Task 3: Multi-Stage Sequential Pipelines (LCEL)</w:t>
      </w:r>
    </w:p>
    <w:p>
      <w:pPr>
        <w:spacing w:after="80" w:line="276" w:lineRule="auto"/>
      </w:pPr>
      <w:r>
        <w:t>• Pipeline Composition: Built sequential pipelines using LangChain Expression Language: chain = prompt | llm | StrOutputParser().</w:t>
        <w:br/>
        <w:t>• Stage 1 (Information Extraction): Ingests messy, natural language customer inquiries and isolates core metadata (Order ID #12345, query context, purchase timeline).</w:t>
        <w:br/>
        <w:t>• Stage 2 (Data Retrieval): Feeds extracted attributes into a simulated back-end lookup to retrieve carrier tracking numbers, shipment statuses, and delivery windows.</w:t>
        <w:br/>
        <w:t>• Stage 3 (Customer Synthesis): Combines retrieved shipment state with customer empathy to produce an actionable, professional update email.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508C"/>
          <w:sz w:val="26"/>
        </w:rPr>
        <w:t>Task 4: Prompt Optimization, Guardrails &amp; Multi-Scenario Evaluation</w:t>
      </w:r>
    </w:p>
    <w:p>
      <w:pPr>
        <w:spacing w:after="80" w:line="276" w:lineRule="auto"/>
      </w:pPr>
      <w:r>
        <w:t>• Structured Output Guardrails: Optimized templates to mandate specific output schemas, including Markdown key-value bullets, tabular shipping specs, and clickable tracking hyperlinks.</w:t>
        <w:br/>
        <w:t>• Empirical Evaluation Across Diverse Inquiries: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Evaluation Scenario</w:t>
            </w:r>
          </w:p>
        </w:tc>
        <w:tc>
          <w:tcPr>
            <w:tcW w:type="dxa" w:w="312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Customer Input</w:t>
            </w:r>
          </w:p>
        </w:tc>
        <w:tc>
          <w:tcPr>
            <w:tcW w:type="dxa" w:w="312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System Resolution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Query A: Standard Status Check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Order #78901 placed last Friday for mechanical keyboard; requesting delivery ETA.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Extracted order ID, retrieved UPS Ground tracking (1Z9Y4X3B...), confirmed In-Transit status, and generated delivery ETA with tracking link.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Query B: Damaged Goods (High Urgency)</w:t>
            </w:r>
          </w:p>
        </w:tc>
        <w:tc>
          <w:tcPr>
            <w:tcW w:type="dxa" w:w="316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Order #44512 arrived yesterday with completely cracked smartphone screen; demands refund/replacement.</w:t>
            </w:r>
          </w:p>
        </w:tc>
        <w:tc>
          <w:tcPr>
            <w:tcW w:type="dxa" w:w="3600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Detected high customer urgency, verified shipment record, generated empathetic response offering immediate prepaid return label and priority replacement unit.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A2540"/>
          <w:sz w:val="32"/>
        </w:rPr>
        <w:t>4. Key Engineering Insights &amp; Lab Deliverables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Decoupled Execution Prevents Hallucinations: </w:t>
      </w:r>
      <w:r>
        <w:rPr>
          <w:rFonts w:ascii="Calibri" w:hAnsi="Calibri"/>
        </w:rPr>
        <w:t>By breaking processing into discrete stages, the LLM is never forced to perform extraction and resolution simultaneously, dramatically reducing hallucinations.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LCEL Declarative Syntax: </w:t>
      </w:r>
      <w:r>
        <w:rPr>
          <w:rFonts w:ascii="Calibri" w:hAnsi="Calibri"/>
        </w:rPr>
        <w:t>Replacing legacy LLMChain with the pipe operator (|) creates clean, readable, streamable, and asynchronously executable production pipelines.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Persona &amp; Output Framing: </w:t>
      </w:r>
      <w:r>
        <w:rPr>
          <w:rFonts w:ascii="Calibri" w:hAnsi="Calibri"/>
        </w:rPr>
        <w:t>Explicit system personas and markdown output formatting guidelines ensure professional, brand-aligned customer communications under edge-case stress.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shd w:fill="0A2540"/>
          </w:tcPr>
          <w:p>
            <w:pPr>
              <w:spacing w:after="0"/>
            </w:pPr>
            <w:r>
              <w:rPr>
                <w:b/>
                <w:color w:val="FFFFFF"/>
              </w:rPr>
              <w:t>Artifact / Deliverable</w:t>
            </w:r>
          </w:p>
        </w:tc>
        <w:tc>
          <w:tcPr>
            <w:tcW w:type="dxa" w:w="5904"/>
            <w:tcMar>
              <w:top w:w="50" w:type="dxa"/>
              <w:bottom w:w="50" w:type="dxa"/>
              <w:left w:w="80" w:type="dxa"/>
              <w:right w:w="80" w:type="dxa"/>
            </w:tcMar>
            <w:shd w:fill="0A2540"/>
          </w:tcPr>
          <w:p>
            <w:pPr>
              <w:spacing w:after="0"/>
            </w:pPr>
            <w:r>
              <w:rPr>
                <w:b/>
                <w:color w:val="FFFFFF"/>
              </w:rPr>
              <w:t>Description &amp; Location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shd w:fill="F0F4F8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mastering_langchain.py</w:t>
            </w:r>
          </w:p>
        </w:tc>
        <w:tc>
          <w:tcPr>
            <w:tcW w:type="dxa" w:w="5904"/>
            <w:tcMar>
              <w:top w:w="50" w:type="dxa"/>
              <w:bottom w:w="50" w:type="dxa"/>
              <w:left w:w="80" w:type="dxa"/>
              <w:right w:w="80" w:type="dxa"/>
            </w:tcMar>
            <w:shd w:fill="FAFCFD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Complete executable script with all 4 tasks implemented and verified with exit code 0.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GLAB_927_6_1_Mastering_LangChain.md</w:t>
            </w:r>
          </w:p>
        </w:tc>
        <w:tc>
          <w:tcPr>
            <w:tcW w:type="dxa" w:w="590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Detailed lab documentation, presentation slides, curriculum analysis, and reference code.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shd w:fill="F0F4F8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.env</w:t>
            </w:r>
          </w:p>
        </w:tc>
        <w:tc>
          <w:tcPr>
            <w:tcW w:type="dxa" w:w="5904"/>
            <w:tcMar>
              <w:top w:w="50" w:type="dxa"/>
              <w:bottom w:w="50" w:type="dxa"/>
              <w:left w:w="80" w:type="dxa"/>
              <w:right w:w="80" w:type="dxa"/>
            </w:tcMar>
            <w:shd w:fill="FAFCFD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Secure configuration file containing the authenticated GROQ_API_KEY.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