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MEMORANDUM OF ASSOCIATION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HACKSHOP PRIVATE LIMITED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Name of the Company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The name of the company shall be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HACKSHOP 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Registered Office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The registered office of the Company shall be situated in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[ Andhra Pradesh, India]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Objects of the Company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The objects for which the Company is established are: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(A) The Primary Objects to be pursued by the Company: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a. To organize and conduct hackathons, ideathons, workshops, and other creative events for students in collaboration with educational institutions and organizations.</w:t>
        <w:br/>
        <w:t xml:space="preserve">b. To provide training programs and hands-on experiences in fields such as artificial intelligence, machine learning, programming, content creation, marketing, filmmaking, and entrepreneurship.</w:t>
        <w:br/>
        <w:t xml:space="preserve">c. To facilitate real internships and part-time job opportunities for students, bridging the gap between academia and industry.</w:t>
        <w:br/>
        <w:t xml:space="preserve">d. To promote innovation and creativity among students by hosting national and international-level competitions and events.</w:t>
        <w:br/>
        <w:t xml:space="preserve">e. To introduce event concepts inspired by foreign cultures and global industry trends to enhance learning experiences.</w:t>
        <w:br/>
        <w:t xml:space="preserve">f. To build a community of tech enthusiasts, entrepreneurs, and creative individuals to foster collaboration and knowledge sharing.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(B) Matters which are necessary for the furtherance of the objects specified in Clause 3(A):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a. To enter into agreements and partnerships with educational institutions, companies, government bodies, and other organizations for conducting events and programs.</w:t>
        <w:br/>
        <w:t xml:space="preserve">b. To develop and maintain an online platform for event registrations, project submissions, and learning resources.</w:t>
        <w:br/>
        <w:t xml:space="preserve">c. To raise funds through sponsorships, event participation fees, grants, and other means for sustaining and expanding business activities.</w:t>
        <w:br/>
        <w:t xml:space="preserve">d. To market and promote the Company's events and activities through various online and offline channels.</w:t>
        <w:br/>
        <w:t xml:space="preserve">e. To hire employees, trainers, and consultants necessary for the smooth operation and growth of the Company.</w:t>
        <w:br/>
        <w:t xml:space="preserve">f. To acquire, purchase, lease, or rent movable and immovable properties required for carrying out the Company's activities.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Liability of Members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The liability of the members is limited.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Share Capital of the Company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The authorized share capital of the Company shall be yet TBD, divided into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equity shares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of INR  each, with the power to increase, reduce, or alter the share capital of the Company as per the provisions of the Companies Act, 2013.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Subscribers to the Memorandum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We, the undersigned, are desirous of being formed into a Company in pursuance of this Memorandum of Association, and we agree to take the number of shares stated opposite our respective names:</w:t>
      </w:r>
    </w:p>
    <w:tbl>
      <w:tblPr/>
      <w:tblGrid>
        <w:gridCol w:w="4009"/>
        <w:gridCol w:w="1359"/>
        <w:gridCol w:w="2401"/>
        <w:gridCol w:w="1912"/>
      </w:tblGrid>
      <w:tr>
        <w:trPr>
          <w:trHeight w:val="600" w:hRule="auto"/>
          <w:jc w:val="center"/>
        </w:trPr>
        <w:tc>
          <w:tcPr>
            <w:tcW w:w="40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Name of Subscriber</w:t>
            </w:r>
          </w:p>
        </w:tc>
        <w:tc>
          <w:tcPr>
            <w:tcW w:w="135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Address</w:t>
            </w:r>
          </w:p>
        </w:tc>
        <w:tc>
          <w:tcPr>
            <w:tcW w:w="240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Number of Shares Taken</w:t>
            </w:r>
          </w:p>
        </w:tc>
        <w:tc>
          <w:tcPr>
            <w:tcW w:w="191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Signature</w:t>
            </w:r>
          </w:p>
        </w:tc>
      </w:tr>
      <w:tr>
        <w:trPr>
          <w:trHeight w:val="1" w:hRule="atLeast"/>
          <w:jc w:val="center"/>
        </w:trPr>
        <w:tc>
          <w:tcPr>
            <w:tcW w:w="40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MALLIPUDI NAGA VEERA VENKATA AJAY KUMAR</w:t>
            </w:r>
          </w:p>
        </w:tc>
        <w:tc>
          <w:tcPr>
            <w:tcW w:w="135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VIJAYAWADA</w:t>
            </w:r>
          </w:p>
        </w:tc>
        <w:tc>
          <w:tcPr>
            <w:tcW w:w="240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25</w:t>
            </w:r>
          </w:p>
        </w:tc>
        <w:tc>
          <w:tcPr>
            <w:tcW w:w="191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AJAY</w:t>
            </w:r>
          </w:p>
        </w:tc>
      </w:tr>
      <w:tr>
        <w:trPr>
          <w:trHeight w:val="375" w:hRule="auto"/>
          <w:jc w:val="center"/>
        </w:trPr>
        <w:tc>
          <w:tcPr>
            <w:tcW w:w="40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DOUPATI BALA VARDHAN KUMAR</w:t>
            </w:r>
          </w:p>
        </w:tc>
        <w:tc>
          <w:tcPr>
            <w:tcW w:w="135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VIJAYAWADA</w:t>
            </w:r>
          </w:p>
        </w:tc>
        <w:tc>
          <w:tcPr>
            <w:tcW w:w="240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25</w:t>
            </w:r>
          </w:p>
        </w:tc>
        <w:tc>
          <w:tcPr>
            <w:tcW w:w="191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BVKUMAR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Dated this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28-03-2025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Gudlavalleru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2">
    <w:abstractNumId w:val="6"/>
  </w:num>
  <w:num w:numId="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