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Database Design</w:t>
      </w:r>
    </w:p>
    <w:p>
      <w:pPr>
        <w:jc w:val="center"/>
      </w:pPr>
      <w:r>
        <w:rPr>
          <w:rFonts w:ascii="Calibri" w:hAnsi="Calibri" w:eastAsia="Calibri"/>
          <w:b w:val="0"/>
          <w:i w:val="0"/>
          <w:color w:val="1A7A6D"/>
          <w:sz w:val="28"/>
        </w:rPr>
        <w:t>Conceptual, logical, ERD, schema, normalisation, security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A. Conceptual Data Model</w:t>
      </w:r>
    </w:p>
    <w:p>
      <w:pPr>
        <w:spacing w:after="160"/>
      </w:pPr>
      <w:r>
        <w:rPr>
          <w:rFonts w:ascii="Calibri" w:hAnsi="Calibri" w:eastAsia="Calibri"/>
          <w:b w:val="0"/>
          <w:i w:val="0"/>
          <w:color w:val="1A2332"/>
          <w:sz w:val="22"/>
        </w:rPr>
        <w:t>The conceptual model is the domain model. Persistent concepts: User, Medicine, StockBatch, Sale, SalesLineItem, Payment, Customer, Prescription, Supplier, StockReceipt, StockAdjustment, AuditEntry.</w:t>
      </w:r>
    </w:p>
    <w:p>
      <w:pPr>
        <w:jc w:val="center"/>
      </w:pPr>
      <w:r>
        <w:drawing>
          <wp:inline xmlns:a="http://schemas.openxmlformats.org/drawingml/2006/main" xmlns:pic="http://schemas.openxmlformats.org/drawingml/2006/picture">
            <wp:extent cx="5688000" cy="4144953"/>
            <wp:docPr id="1" name="Picture 1"/>
            <wp:cNvGraphicFramePr>
              <a:graphicFrameLocks noChangeAspect="1"/>
            </wp:cNvGraphicFramePr>
            <a:graphic>
              <a:graphicData uri="http://schemas.openxmlformats.org/drawingml/2006/picture">
                <pic:pic>
                  <pic:nvPicPr>
                    <pic:cNvPr id="0" name="Domain-Model.png"/>
                    <pic:cNvPicPr/>
                  </pic:nvPicPr>
                  <pic:blipFill>
                    <a:blip r:embed="rId11"/>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1: Conceptual data (domain model)</w:t>
      </w:r>
    </w:p>
    <w:p>
      <w:pPr>
        <w:spacing w:after="240"/>
      </w:pPr>
      <w:r>
        <w:rPr>
          <w:rFonts w:ascii="Calibri" w:hAnsi="Calibri" w:eastAsia="Calibri"/>
          <w:b w:val="0"/>
          <w:i w:val="0"/>
          <w:color w:val="5B6770"/>
          <w:sz w:val="20"/>
        </w:rPr>
        <w:t>Receipt is not stored as its own entity.</w:t>
      </w:r>
    </w:p>
    <w:p>
      <w:pPr>
        <w:pStyle w:val="Heading1"/>
      </w:pPr>
      <w:r>
        <w:t>B. Logical Database Model</w:t>
      </w:r>
    </w:p>
    <w:p>
      <w:pPr>
        <w:jc w:val="center"/>
      </w:pPr>
      <w:r>
        <w:drawing>
          <wp:inline xmlns:a="http://schemas.openxmlformats.org/drawingml/2006/main" xmlns:pic="http://schemas.openxmlformats.org/drawingml/2006/picture">
            <wp:extent cx="5688000" cy="3577548"/>
            <wp:docPr id="2" name="Picture 2"/>
            <wp:cNvGraphicFramePr>
              <a:graphicFrameLocks noChangeAspect="1"/>
            </wp:cNvGraphicFramePr>
            <a:graphic>
              <a:graphicData uri="http://schemas.openxmlformats.org/drawingml/2006/picture">
                <pic:pic>
                  <pic:nvPicPr>
                    <pic:cNvPr id="0" name="Schema-Groups.png"/>
                    <pic:cNvPicPr/>
                  </pic:nvPicPr>
                  <pic:blipFill>
                    <a:blip r:embed="rId12"/>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2: Logical groups</w:t>
      </w:r>
    </w:p>
    <w:p>
      <w:pPr>
        <w:spacing w:after="240"/>
      </w:pPr>
      <w:r>
        <w:rPr>
          <w:rFonts w:ascii="Calibri" w:hAnsi="Calibri" w:eastAsia="Calibri"/>
          <w:b w:val="0"/>
          <w:i w:val="0"/>
          <w:color w:val="5B6770"/>
          <w:sz w:val="20"/>
        </w:rPr>
        <w:t>Identity, catalogue, movements, patients, sales.</w:t>
      </w:r>
    </w:p>
    <w:p>
      <w:pPr>
        <w:pStyle w:val="Heading1"/>
      </w:pPr>
      <w:r>
        <w:t>C. Entity Relationship Diagram</w:t>
      </w:r>
    </w:p>
    <w:p>
      <w:pPr>
        <w:jc w:val="center"/>
      </w:pPr>
      <w:r>
        <w:drawing>
          <wp:inline xmlns:a="http://schemas.openxmlformats.org/drawingml/2006/main" xmlns:pic="http://schemas.openxmlformats.org/drawingml/2006/picture">
            <wp:extent cx="5688000" cy="4427591"/>
            <wp:docPr id="3" name="Picture 3"/>
            <wp:cNvGraphicFramePr>
              <a:graphicFrameLocks noChangeAspect="1"/>
            </wp:cNvGraphicFramePr>
            <a:graphic>
              <a:graphicData uri="http://schemas.openxmlformats.org/drawingml/2006/picture">
                <pic:pic>
                  <pic:nvPicPr>
                    <pic:cNvPr id="0" name="ERD-Logical.png"/>
                    <pic:cNvPicPr/>
                  </pic:nvPicPr>
                  <pic:blipFill>
                    <a:blip r:embed="rId13"/>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3: ERD</w:t>
      </w:r>
    </w:p>
    <w:p>
      <w:pPr>
        <w:spacing w:after="240"/>
      </w:pPr>
      <w:r>
        <w:rPr>
          <w:rFonts w:ascii="Calibri" w:hAnsi="Calibri" w:eastAsia="Calibri"/>
          <w:b w:val="0"/>
          <w:i w:val="0"/>
          <w:color w:val="5B6770"/>
          <w:sz w:val="20"/>
        </w:rPr>
        <w:t>Must stay consistent with use cases and design classes.</w:t>
      </w:r>
    </w:p>
    <w:p>
      <w:pPr>
        <w:pStyle w:val="Heading1"/>
      </w:pPr>
      <w:r>
        <w:t>D. Database Schema</w:t>
      </w:r>
    </w:p>
    <w:p>
      <w:pPr>
        <w:pStyle w:val="Heading2"/>
      </w:pPr>
      <w:r>
        <w:t>users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2"/>
      </w:pPr>
      <w:r>
        <w:t>pharmacy_settings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2"/>
      </w:pPr>
      <w:r>
        <w:t>medicine_categories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2"/>
      </w:pPr>
      <w:r>
        <w:t>medicines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2"/>
      </w:pPr>
      <w:r>
        <w:t>suppliers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2"/>
      </w:pPr>
      <w:r>
        <w:t>stock_batches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2"/>
      </w:pPr>
      <w:r>
        <w:t>stock_receipts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2"/>
      </w:pPr>
      <w:r>
        <w:t>stock_receipt_lines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2"/>
      </w:pPr>
      <w:r>
        <w:t>stock_adjustments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2"/>
      </w:pPr>
      <w:r>
        <w:t>customers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2"/>
      </w:pPr>
      <w:r>
        <w:t>prescriptions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2"/>
      </w:pPr>
      <w:r>
        <w:t>prescription_items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2"/>
      </w:pPr>
      <w:r>
        <w:t>sales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2"/>
      </w:pPr>
      <w:r>
        <w:t>sale_items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2"/>
      </w:pPr>
      <w:r>
        <w:t>payments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2"/>
      </w:pPr>
      <w:r>
        <w:t>audit_logs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E. Relationships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pharmacist records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adjustments.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category groups many medicines.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has many batches.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supplier is the source of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receipt contains lines.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increased by receipt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adjusted many times.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have many recorded prescriptions.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appear on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lists items.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may appear on prescriptions.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may be linked to a sale.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contains line items.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appears on many sale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is sold on many lines over time.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has one payment in this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generates many audit rows.</w:t>
            </w:r>
          </w:p>
        </w:tc>
      </w:tr>
    </w:tbl>
    <w:p/>
    <w:p>
      <w:pPr>
        <w:spacing w:after="160"/>
      </w:pPr>
      <w:r>
        <w:rPr>
          <w:rFonts w:ascii="Calibri" w:hAnsi="Calibri" w:eastAsia="Calibri"/>
          <w:b w:val="0"/>
          <w:i w:val="0"/>
          <w:color w:val="1A2332"/>
          <w:sz w:val="22"/>
        </w:rPr>
        <w:t>Many-to-many Medicine–Sale is resolved by sale_items. Medicine–Prescription is resolved by prescription_items. No unresolved M:N remains.</w:t>
      </w:r>
    </w:p>
    <w:p>
      <w:pPr>
        <w:pStyle w:val="Heading1"/>
      </w:pPr>
      <w:r>
        <w:t>F. Normalisation</w:t>
      </w:r>
    </w:p>
    <w:p>
      <w:pPr>
        <w:spacing w:after="160"/>
      </w:pPr>
      <w:r>
        <w:rPr>
          <w:rFonts w:ascii="Calibri" w:hAnsi="Calibri" w:eastAsia="Calibri"/>
          <w:b w:val="0"/>
          <w:i w:val="0"/>
          <w:color w:val="1A2332"/>
          <w:sz w:val="22"/>
        </w:rPr>
        <w:t>Target is third normal form. Each non-key attribute depends on the key, the whole key, and nothing but the key. Controlled exception: unit_price and line_total on sale_items are copied from the catalogue at sale time so that a later price change does not rewrite history. line_total is determined by quantity * unit_price and could be computed; it is stored to simplify receipts and reports. That is a documented denormalisation, not an accident.</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How the design answers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1NF</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Atomic columns; no repeating medicine groups on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2NF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 key is sale_item_id; no partial dependence on a composite leftover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3NF</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name is not stored on sales; customer_id is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hash + salt; not a normalised “fact” about a person in plaintext</w:t>
            </w:r>
          </w:p>
        </w:tc>
      </w:tr>
    </w:tbl>
    <w:p/>
    <w:p>
      <w:pPr>
        <w:pStyle w:val="Heading1"/>
      </w:pPr>
      <w:r>
        <w:t>G. Data Dictionary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Entity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Attribute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 only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Forces UC-02 attachPrescription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Sellability rule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Decremented by completed sales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 COMPLETED / VOIDED</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 CARD / MOBILE_MONEY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event type</w:t>
            </w:r>
          </w:p>
        </w:tc>
      </w:tr>
    </w:tbl>
    <w:p/>
    <w:p>
      <w:pPr>
        <w:pStyle w:val="Heading1"/>
      </w:pPr>
      <w:r>
        <w:t>H. Database Security Design</w:t>
      </w:r>
    </w:p>
    <w:p>
      <w:pPr>
        <w:pStyle w:val="ListBullet"/>
      </w:pPr>
      <w:r>
        <w:rPr>
          <w:rFonts w:ascii="Calibri" w:hAnsi="Calibri" w:eastAsia="Calibri"/>
          <w:b w:val="0"/>
          <w:i w:val="0"/>
          <w:color w:val="1A2332"/>
          <w:sz w:val="22"/>
        </w:rPr>
        <w:t>Authentication data: username + salt + hash. Never plaintext passwords.</w:t>
      </w:r>
    </w:p>
    <w:p>
      <w:pPr>
        <w:pStyle w:val="ListBullet"/>
      </w:pPr>
      <w:r>
        <w:rPr>
          <w:rFonts w:ascii="Calibri" w:hAnsi="Calibri" w:eastAsia="Calibri"/>
          <w:b w:val="0"/>
          <w:i w:val="0"/>
          <w:color w:val="1A2332"/>
          <w:sz w:val="22"/>
        </w:rPr>
        <w:t>Authorisation: role column; application enforces; DB account used by the app is not a human Administrator login.</w:t>
      </w:r>
    </w:p>
    <w:p>
      <w:pPr>
        <w:pStyle w:val="ListBullet"/>
      </w:pPr>
      <w:r>
        <w:rPr>
          <w:rFonts w:ascii="Calibri" w:hAnsi="Calibri" w:eastAsia="Calibri"/>
          <w:b w:val="0"/>
          <w:i w:val="0"/>
          <w:color w:val="1A2332"/>
          <w:sz w:val="22"/>
        </w:rPr>
        <w:t>Access control: Pharmacist sessions cannot invoke catalogue writes.</w:t>
      </w:r>
    </w:p>
    <w:p>
      <w:pPr>
        <w:pStyle w:val="ListBullet"/>
      </w:pPr>
      <w:r>
        <w:rPr>
          <w:rFonts w:ascii="Calibri" w:hAnsi="Calibri" w:eastAsia="Calibri"/>
          <w:b w:val="0"/>
          <w:i w:val="0"/>
          <w:color w:val="1A2332"/>
          <w:sz w:val="22"/>
        </w:rPr>
        <w:t>Audit: audit_logs plus immutable sale rows after void.</w:t>
      </w:r>
    </w:p>
    <w:p>
      <w:pPr>
        <w:pStyle w:val="ListBullet"/>
      </w:pPr>
      <w:r>
        <w:rPr>
          <w:rFonts w:ascii="Calibri" w:hAnsi="Calibri" w:eastAsia="Calibri"/>
          <w:b w:val="0"/>
          <w:i w:val="0"/>
          <w:color w:val="1A2332"/>
          <w:sz w:val="22"/>
        </w:rPr>
        <w:t>Integrity: PKs, FKs, non-negative quantities, required status fields.</w:t>
      </w:r>
    </w:p>
    <w:p>
      <w:pPr>
        <w:spacing w:after="160"/>
      </w:pPr>
      <w:r>
        <w:rPr>
          <w:rFonts w:ascii="Calibri" w:hAnsi="Calibri" w:eastAsia="Calibri"/>
          <w:b w:val="0"/>
          <w:i w:val="0"/>
          <w:color w:val="1A2332"/>
          <w:sz w:val="22"/>
        </w:rPr>
        <w:t>No CREATE TABLE script is included. That would be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Database Design    |    Logical schema — not implemented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