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Design Consistency and Compliance Audit</w:t>
      </w:r>
    </w:p>
    <w:p>
      <w:pPr>
        <w:jc w:val="center"/>
      </w:pPr>
      <w:r>
        <w:rPr>
          <w:rFonts w:ascii="Calibri" w:hAnsi="Calibri" w:eastAsia="Calibri"/>
          <w:b w:val="0"/>
          <w:i w:val="0"/>
          <w:color w:val="1A7A6D"/>
          <w:sz w:val="28"/>
        </w:rPr>
        <w:t>Marking guide, Larman method, UML, and traceability</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Performed on the documentation pack before implementation</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Marking-guide audit</w:t>
      </w:r>
    </w:p>
    <w:p>
      <w:pPr>
        <w:spacing w:after="160"/>
      </w:pPr>
      <w:r>
        <w:rPr>
          <w:rFonts w:ascii="Calibri" w:hAnsi="Calibri" w:eastAsia="Calibri"/>
          <w:b w:val="0"/>
          <w:i w:val="0"/>
          <w:color w:val="1A2332"/>
          <w:sz w:val="22"/>
        </w:rPr>
        <w:t>Every published criterion in the CSC 4630 marking guide appears in Documentation/00-Project-Control/Marking-Guide-Compliance-Matrix.docx. Summary: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Block</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Marks</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Documentation verdict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Vision, 10% UC-02, risks, feasibility, UP-mapped plan present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20</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 use cases + SSDs, domain model, layered PoC, updated risks present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70% use cases, DCDs with methods, UI prototypes, risk-mitigation table present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 order, UT/IT catalogues, Git/CI, defect template — results not faked</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Beta/performance/security plans and user manual — measurements not faked</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 &amp; final</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35-slide presentation, final report, reflection, demo scenarios — live demo pending code</w:t>
            </w:r>
          </w:p>
        </w:tc>
      </w:tr>
    </w:tbl>
    <w:p/>
    <w:p>
      <w:pPr>
        <w:pStyle w:val="Heading1"/>
      </w:pPr>
      <w:r>
        <w:t>2. Larman methodology audit</w:t>
      </w:r>
    </w:p>
    <w:p>
      <w:pPr>
        <w:pStyle w:val="ListBullet"/>
      </w:pPr>
      <w:r>
        <w:rPr>
          <w:rFonts w:ascii="Calibri" w:hAnsi="Calibri" w:eastAsia="Calibri"/>
          <w:b w:val="0"/>
          <w:i w:val="0"/>
          <w:color w:val="1A2332"/>
          <w:sz w:val="22"/>
        </w:rPr>
        <w:t>UP is iterative. Inception is not a requirements freeze.</w:t>
      </w:r>
    </w:p>
    <w:p>
      <w:pPr>
        <w:pStyle w:val="ListBullet"/>
      </w:pPr>
      <w:r>
        <w:rPr>
          <w:rFonts w:ascii="Calibri" w:hAnsi="Calibri" w:eastAsia="Calibri"/>
          <w:b w:val="0"/>
          <w:i w:val="0"/>
          <w:color w:val="1A2332"/>
          <w:sz w:val="22"/>
        </w:rPr>
        <w:t>Use cases are user goals. enterItem is intent-level; scan is a technology variation.</w:t>
      </w:r>
    </w:p>
    <w:p>
      <w:pPr>
        <w:pStyle w:val="ListBullet"/>
      </w:pPr>
      <w:r>
        <w:rPr>
          <w:rFonts w:ascii="Calibri" w:hAnsi="Calibri" w:eastAsia="Calibri"/>
          <w:b w:val="0"/>
          <w:i w:val="0"/>
          <w:color w:val="1A2332"/>
          <w:sz w:val="22"/>
        </w:rPr>
        <w:t>SSDs show actor → :System only.</w:t>
      </w:r>
    </w:p>
    <w:p>
      <w:pPr>
        <w:pStyle w:val="ListBullet"/>
      </w:pPr>
      <w:r>
        <w:rPr>
          <w:rFonts w:ascii="Calibri" w:hAnsi="Calibri" w:eastAsia="Calibri"/>
          <w:b w:val="0"/>
          <w:i w:val="0"/>
          <w:color w:val="1A2332"/>
          <w:sz w:val="22"/>
        </w:rPr>
        <w:t>Domain model has attributes and associations, not methods.</w:t>
      </w:r>
    </w:p>
    <w:p>
      <w:pPr>
        <w:pStyle w:val="ListBullet"/>
      </w:pPr>
      <w:r>
        <w:rPr>
          <w:rFonts w:ascii="Calibri" w:hAnsi="Calibri" w:eastAsia="Calibri"/>
          <w:b w:val="0"/>
          <w:i w:val="0"/>
          <w:color w:val="1A2332"/>
          <w:sz w:val="22"/>
        </w:rPr>
        <w:t>DCDs add methods after responsibilities / GRASP.</w:t>
      </w:r>
    </w:p>
    <w:p>
      <w:pPr>
        <w:pStyle w:val="ListBullet"/>
      </w:pPr>
      <w:r>
        <w:rPr>
          <w:rFonts w:ascii="Calibri" w:hAnsi="Calibri" w:eastAsia="Calibri"/>
          <w:b w:val="0"/>
          <w:i w:val="0"/>
          <w:color w:val="1A2332"/>
          <w:sz w:val="22"/>
        </w:rPr>
        <w:t>NextGen POS was adapted: StockBatch and Prescription added; Register omitted.</w:t>
      </w:r>
    </w:p>
    <w:p>
      <w:pPr>
        <w:pStyle w:val="ListBullet"/>
      </w:pPr>
      <w:r>
        <w:rPr>
          <w:rFonts w:ascii="Calibri" w:hAnsi="Calibri" w:eastAsia="Calibri"/>
          <w:b w:val="0"/>
          <w:i w:val="0"/>
          <w:color w:val="1A2332"/>
          <w:sz w:val="22"/>
        </w:rPr>
        <w:t>Page numbers from the 3rd edition are not invented. Chapter extracts (9, 11, 16) are cited.</w:t>
      </w:r>
    </w:p>
    <w:p>
      <w:pPr>
        <w:spacing w:after="160"/>
      </w:pPr>
      <w:r>
        <w:rPr>
          <w:rFonts w:ascii="Calibri" w:hAnsi="Calibri" w:eastAsia="Calibri"/>
          <w:b w:val="0"/>
          <w:i w:val="0"/>
          <w:color w:val="1A2332"/>
          <w:sz w:val="22"/>
        </w:rPr>
        <w:t>The full Larman book file was not available as one PDF. Course chapter extracts in References/ were read instead of fabricating a complete-book reading.</w:t>
      </w:r>
    </w:p>
    <w:p>
      <w:pPr>
        <w:pStyle w:val="Heading1"/>
      </w:pPr>
      <w:r>
        <w:t>3. UML consistency audit</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Check</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Result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Use-case actors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Two system users plus Customer and Supplier as external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separate Cashier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 — stated on diagrams, UI, schema, manual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events vs UC-02 text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 — makeNewSale, enterItem, attachPrescription, endSale, makePayment</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vs DCD</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 — DCD adds controllers, repositories, methods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vs ERD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 — each persistent concept has a table; Receipt is output-only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vs use cases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 — no Manager screen; admin vs pharmacist shells differ</w:t>
            </w:r>
          </w:p>
        </w:tc>
      </w:tr>
    </w:tbl>
    <w:p/>
    <w:p>
      <w:pPr>
        <w:pStyle w:val="Heading1"/>
      </w:pPr>
      <w:r>
        <w:t>4. Traceability audit (Process Sale thread)</w:t>
      </w:r>
    </w:p>
    <w:p>
      <w:pPr>
        <w:spacing w:after="160"/>
      </w:pPr>
      <w:r>
        <w:rPr>
          <w:rFonts w:ascii="Calibri" w:hAnsi="Calibri" w:eastAsia="Calibri"/>
          <w:b w:val="0"/>
          <w:i w:val="0"/>
          <w:color w:val="1A2332"/>
          <w:sz w:val="22"/>
        </w:rPr>
        <w:t>BO-01 / BO-02 → FR-03–FR-08 → UC-02 → SC-01–SC-03 → enterItem / makePayment → StockBatch, Sale, Payment → SaleController / Sale / StockBatch → sales, sale_items, payments, stock_batches → F-02–F-07 → UT-04, UT-08, IT-01, TC-04–TC-10 → demo SC-01–SC-03.</w:t>
      </w:r>
    </w:p>
    <w:p>
      <w:pPr>
        <w:spacing w:after="160"/>
      </w:pPr>
      <w:r>
        <w:rPr>
          <w:rFonts w:ascii="Calibri" w:hAnsi="Calibri" w:eastAsia="Calibri"/>
          <w:b w:val="0"/>
          <w:i w:val="0"/>
          <w:color w:val="1A2332"/>
          <w:sz w:val="22"/>
        </w:rPr>
        <w:t>Same identifiers are used in every Word document and in the presentation.</w:t>
      </w:r>
    </w:p>
    <w:p>
      <w:pPr>
        <w:pStyle w:val="Heading1"/>
      </w:pPr>
      <w:r>
        <w:t>5. Two-role audit</w:t>
      </w:r>
    </w:p>
    <w:p>
      <w:pPr>
        <w:spacing w:after="160"/>
      </w:pPr>
      <w:r>
        <w:rPr>
          <w:rFonts w:ascii="Calibri" w:hAnsi="Calibri" w:eastAsia="Calibri"/>
          <w:b w:val="0"/>
          <w:i w:val="0"/>
          <w:color w:val="1A2332"/>
          <w:sz w:val="22"/>
        </w:rPr>
        <w:t>Administrator and Pharmacist/Cashier only. users.role allows two values. UI-09 shows only those roles. Earlier briefing slides that said Cashier or Manager were treated as incorrect and corrected.</w:t>
      </w:r>
    </w:p>
    <w:p>
      <w:pPr>
        <w:pStyle w:val="Heading1"/>
      </w:pPr>
      <w:r>
        <w:t>6. Honesty audit</w:t>
      </w:r>
    </w:p>
    <w:p>
      <w:pPr>
        <w:spacing w:after="160"/>
      </w:pPr>
      <w:r>
        <w:rPr>
          <w:rFonts w:ascii="Calibri" w:hAnsi="Calibri" w:eastAsia="Calibri"/>
          <w:b w:val="0"/>
          <w:i w:val="0"/>
          <w:color w:val="1A2332"/>
          <w:sz w:val="22"/>
        </w:rPr>
        <w:t>No test results, beta quotes, performance numbers, defect counts, or deployment outcomes were invented. Construction and Transition use the required placeholder sentences.</w:t>
      </w:r>
    </w:p>
    <w:p>
      <w:pPr>
        <w:pStyle w:val="Heading1"/>
      </w:pPr>
      <w:r>
        <w:t>7. Implementation audit</w:t>
      </w:r>
    </w:p>
    <w:p>
      <w:pPr>
        <w:spacing w:after="160"/>
      </w:pPr>
      <w:r>
        <w:rPr>
          <w:rFonts w:ascii="Calibri" w:hAnsi="Calibri" w:eastAsia="Calibri"/>
          <w:b w:val="0"/>
          <w:i w:val="0"/>
          <w:color w:val="1A2332"/>
          <w:sz w:val="22"/>
        </w:rPr>
        <w:t>No frontend, backend, API, or SQL implementation scripts were generated. schema-columns.csv is a design table, not executable SQL. _docgen/ is a documentation generator, not the Pharmacy POS application.</w:t>
      </w:r>
    </w:p>
    <w:p>
      <w:pPr>
        <w:pStyle w:val="Heading1"/>
      </w:pPr>
      <w:r>
        <w:t>8. Remaining human tasks before submission</w:t>
      </w:r>
    </w:p>
    <w:p>
      <w:pPr>
        <w:pStyle w:val="ListBullet"/>
      </w:pPr>
      <w:r>
        <w:rPr>
          <w:rFonts w:ascii="Calibri" w:hAnsi="Calibri" w:eastAsia="Calibri"/>
          <w:b w:val="0"/>
          <w:i w:val="0"/>
          <w:color w:val="1A2332"/>
          <w:sz w:val="22"/>
        </w:rPr>
        <w:t>Replace [University Name], [Lecturer Name], and Appendix C member names.</w:t>
      </w:r>
    </w:p>
    <w:p>
      <w:pPr>
        <w:pStyle w:val="ListBullet"/>
      </w:pPr>
      <w:r>
        <w:rPr>
          <w:rFonts w:ascii="Calibri" w:hAnsi="Calibri" w:eastAsia="Calibri"/>
          <w:b w:val="0"/>
          <w:i w:val="0"/>
          <w:color w:val="1A2332"/>
          <w:sz w:val="22"/>
        </w:rPr>
        <w:t>In Word, right-click each table of contents and Update Field.</w:t>
      </w:r>
    </w:p>
    <w:p>
      <w:pPr>
        <w:pStyle w:val="ListBullet"/>
      </w:pPr>
      <w:r>
        <w:rPr>
          <w:rFonts w:ascii="Calibri" w:hAnsi="Calibri" w:eastAsia="Calibri"/>
          <w:b w:val="0"/>
          <w:i w:val="0"/>
          <w:color w:val="1A2332"/>
          <w:sz w:val="22"/>
        </w:rPr>
        <w:t>Do not start coding until the instruction START IMPLEMENTATION.</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0"/>
        <w:sz w:val="18"/>
      </w:rPr>
      <w:t xml:space="preserve">Group 20  ·  CSC 4630  ·  Unified Process  ·  Page </w:t>
    </w:r>
    <w:r>
      <w:fldChar w:fldCharType="begin"/>
      <w:instrText xml:space="preserve"> PAGE </w:instrText>
      <w:fldChar w:fldCharType="end"/>
    </w:r>
    <w:r>
      <w:rPr>
        <w:rFonts w:ascii="Calibri" w:hAnsi="Calibri" w:eastAsia="Calibri"/>
        <w:b w:val="0"/>
        <w:i w:val="0"/>
        <w:color w:val="5B6770"/>
        <w:sz w:val="18"/>
      </w:rPr>
      <w:t xml:space="preserve">  ·  Documentation only — no implementation yet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A7A6D"/>
        <w:sz w:val="18"/>
      </w:rPr>
      <w:t>Pharmacy POS  ·  Design Audit    |    Consistency and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3B4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7A6D"/>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3B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