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A7A6D"/>
          <w:sz w:val="24"/>
        </w:rPr>
        <w:t>CSC 4630  ·  GROUP 20</w:t>
      </w:r>
    </w:p>
    <w:p>
      <w:pPr>
        <w:jc w:val="center"/>
      </w:pPr>
      <w:r>
        <w:rPr>
          <w:rFonts w:ascii="Calibri" w:hAnsi="Calibri" w:eastAsia="Calibri"/>
          <w:b/>
          <w:i w:val="0"/>
          <w:color w:val="0D3B4C"/>
          <w:sz w:val="56"/>
        </w:rPr>
        <w:t>Diagram and Artefact Inventory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7A6D"/>
          <w:sz w:val="28"/>
        </w:rPr>
        <w:t>How the same models evolve from week 1 to week 15</w:t>
      </w:r>
    </w:p>
    <w:p/>
    <w:p>
      <w:pPr>
        <w:jc w:val="center"/>
      </w:pPr>
      <w:r>
        <w:rPr>
          <w:rFonts w:ascii="Calibri" w:hAnsi="Calibri" w:eastAsia="Calibri"/>
          <w:b w:val="0"/>
          <w:i w:val="0"/>
          <w:color w:val="1A2332"/>
          <w:sz w:val="24"/>
        </w:rPr>
        <w:t>CSC 4630 – Advanced Software Engineering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2332"/>
          <w:sz w:val="24"/>
        </w:rPr>
        <w:t>Group 20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2332"/>
          <w:sz w:val="24"/>
        </w:rPr>
        <w:t>Lecturer: [Lecturer Name]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2332"/>
          <w:sz w:val="24"/>
        </w:rPr>
        <w:t>University: [University Name]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2332"/>
          <w:sz w:val="24"/>
        </w:rPr>
        <w:t>September 2026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2332"/>
          <w:sz w:val="24"/>
        </w:rPr>
        <w:t>Unified Process (UP) — Iterative and Incremental</w:t>
      </w:r>
    </w:p>
    <w:p>
      <w:pPr>
        <w:jc w:val="center"/>
      </w:pPr>
      <w:r>
        <w:rPr>
          <w:rFonts w:ascii="Calibri" w:hAnsi="Calibri" w:eastAsia="Calibri"/>
          <w:b w:val="0"/>
          <w:i/>
          <w:color w:val="5B6770"/>
          <w:sz w:val="20"/>
        </w:rPr>
        <w:br/>
        <w:t>Analysis and design artefact. No application source code is included. Implementation starts only after the instruction START IMPLEMENTATION.</w:t>
      </w:r>
    </w:p>
    <w:p>
      <w:r>
        <w:br w:type="page"/>
      </w:r>
    </w:p>
    <w:p>
      <w:pPr>
        <w:pStyle w:val="Heading1"/>
      </w:pPr>
      <w:r>
        <w:t>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0D3B4C" w:val="clear"/>
            <w:tcBorders>
              <w:top w:val="single" w:sz="4" w:color="0D3B4C"/>
              <w:left w:val="single" w:sz="4" w:color="0D3B4C"/>
              <w:bottom w:val="single" w:sz="4" w:color="0D3B4C"/>
              <w:right w:val="single" w:sz="4" w:color="0D3B4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1882"/>
            <w:shd w:fill="0D3B4C" w:val="clear"/>
            <w:tcBorders>
              <w:top w:val="single" w:sz="4" w:color="0D3B4C"/>
              <w:left w:val="single" w:sz="4" w:color="0D3B4C"/>
              <w:bottom w:val="single" w:sz="4" w:color="0D3B4C"/>
              <w:right w:val="single" w:sz="4" w:color="0D3B4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UP Phase</w:t>
            </w:r>
          </w:p>
        </w:tc>
        <w:tc>
          <w:tcPr>
            <w:tcW w:type="dxa" w:w="1882"/>
            <w:shd w:fill="0D3B4C" w:val="clear"/>
            <w:tcBorders>
              <w:top w:val="single" w:sz="4" w:color="0D3B4C"/>
              <w:left w:val="single" w:sz="4" w:color="0D3B4C"/>
              <w:bottom w:val="single" w:sz="4" w:color="0D3B4C"/>
              <w:right w:val="single" w:sz="4" w:color="0D3B4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Iteration</w:t>
            </w:r>
          </w:p>
        </w:tc>
        <w:tc>
          <w:tcPr>
            <w:tcW w:type="dxa" w:w="1882"/>
            <w:shd w:fill="0D3B4C" w:val="clear"/>
            <w:tcBorders>
              <w:top w:val="single" w:sz="4" w:color="0D3B4C"/>
              <w:left w:val="single" w:sz="4" w:color="0D3B4C"/>
              <w:bottom w:val="single" w:sz="4" w:color="0D3B4C"/>
              <w:right w:val="single" w:sz="4" w:color="0D3B4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Diagram / artefact</w:t>
            </w:r>
          </w:p>
        </w:tc>
        <w:tc>
          <w:tcPr>
            <w:tcW w:type="dxa" w:w="1882"/>
            <w:shd w:fill="0D3B4C" w:val="clear"/>
            <w:tcBorders>
              <w:top w:val="single" w:sz="4" w:color="0D3B4C"/>
              <w:left w:val="single" w:sz="4" w:color="0D3B4C"/>
              <w:bottom w:val="single" w:sz="4" w:color="0D3B4C"/>
              <w:right w:val="single" w:sz="4" w:color="0D3B4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1–2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Inception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—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UC-Inception-10-Percent.png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Initial high-level use-case model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1–2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Inception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—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UP-Phases.png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Iterative UP, not waterfall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1–2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Inception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—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Iteration-Plan-15-Weeks.png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Marks and weeks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3–5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UC-Elaboration1-30-Percent.png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Detailed 30% set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3–5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SSD-UC01 / UC02 / UC03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Black-box system events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3–5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Domain-Model.png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Conceptual classes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3–5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Layered-Architecture-PoC.png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Architecture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3–5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Architecture-Sale-Path.png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PoC collaboration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6–8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2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UC-Complete.png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Final use-case model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6–8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SSD-UC04 / UC09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Remaining SSDs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6–8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2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DCD-Process-Sale.png / DCD-Overview.png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Design classes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6–8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GRASP-Assignments.png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Responsibilities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6–8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2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UI-01 … UI-10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Prototypes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6–8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Elaboration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2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ERD-Logical.png / Schema-Groups.png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Database design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9–12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Construction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3–4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Git-CI-Workflow.png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How features will be built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9–12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Construction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3–4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Feature / test / defect tables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Tracking (results later)</w:t>
            </w:r>
          </w:p>
        </w:tc>
      </w:tr>
      <w:tr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13–14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Transition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5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Same UML files until updated</w:t>
            </w:r>
          </w:p>
        </w:tc>
        <w:tc>
          <w:tcPr>
            <w:tcW w:type="dxa" w:w="1882"/>
            <w:shd w:fill="E6F3F1" w:val="clear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Beta baseline</w:t>
            </w:r>
          </w:p>
        </w:tc>
      </w:tr>
      <w:tr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15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Transition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Demo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Final presentation</w:t>
            </w:r>
          </w:p>
        </w:tc>
        <w:tc>
          <w:tcPr>
            <w:tcW w:type="dxa" w:w="1882"/>
            <w:tcBorders>
              <w:top w:val="single" w:sz="4" w:color="C5D0D4"/>
              <w:left w:val="single" w:sz="4" w:color="C5D0D4"/>
              <w:bottom w:val="single" w:sz="4" w:color="C5D0D4"/>
              <w:right w:val="single" w:sz="4" w:color="C5D0D4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8"/>
              </w:rPr>
              <w:t>Same diagrams, not a redesign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B6770"/>
        <w:sz w:val="18"/>
      </w:rPr>
      <w:t xml:space="preserve">Group 20  ·  CSC 4630  ·  Unified Process  ·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B6770"/>
        <w:sz w:val="18"/>
      </w:rPr>
      <w:t xml:space="preserve">  ·  Documentation only — no implementation yet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i w:val="0"/>
        <w:color w:val="1A7A6D"/>
        <w:sz w:val="18"/>
      </w:rPr>
      <w:t>Pharmacy POS  ·  Diagram Inventory    |    Week-by-week evolution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3B4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7A6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0D3B4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