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Marking Guide Compliance Matrix</w:t>
      </w:r>
    </w:p>
    <w:p>
      <w:pPr>
        <w:jc w:val="center"/>
      </w:pPr>
      <w:r>
        <w:rPr>
          <w:rFonts w:ascii="Calibri" w:hAnsi="Calibri" w:eastAsia="Calibri"/>
          <w:b w:val="0"/>
          <w:i w:val="0"/>
          <w:color w:val="1A7A6D"/>
          <w:sz w:val="28"/>
        </w:rPr>
        <w:t>Every official criterion mapped to an artefact</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Purpose</w:t>
      </w:r>
    </w:p>
    <w:p>
      <w:pPr>
        <w:spacing w:after="160"/>
      </w:pPr>
      <w:r>
        <w:rPr>
          <w:rFonts w:ascii="Calibri" w:hAnsi="Calibri" w:eastAsia="Calibri"/>
          <w:b w:val="0"/>
          <w:i w:val="0"/>
          <w:color w:val="1A2332"/>
          <w:sz w:val="22"/>
        </w:rPr>
        <w:t>The lecturer’s marking guide, not this prompt, determines marks. This matrix lists every published criterion. Construction and Transition product evidence is planned, not fabricated.</w:t>
      </w:r>
    </w:p>
    <w:p>
      <w:pPr>
        <w:pStyle w:val="Heading1"/>
      </w:pPr>
      <w:r>
        <w:t>2. Master matrix</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Requirement</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Marks</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Deliverable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UP Phase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Week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Document</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document (objectives, scope)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scope, objectives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Report §§4–6</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 use cases (high-level)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brief + Figure 1</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Report §10–11</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 list &amp; iteration plan (UP justified)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 register + 15-week plan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Report §12, 15–16</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total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&amp; feasibility milestone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01-Inception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 use cases detailed, with SSDs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UC-01/02/03 + SSDs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1 Report §§3–6</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model (UML class diagram)</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Conceptual domain model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1 Report §§7–8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Architectural proof-of-concept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Layers + sale path</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1 Report §§9–11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Updated risk list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1 register</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1 Report §§13–14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Core architecture &amp; requirements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02-Elaboration-Iteration-1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use cases (70%)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UC-04–UC-10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2 Report §§3–4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Design class diagrams (refined with methods)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DCD + responsibilities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2 Report §§7–9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 (if applicable)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Ten screens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2 Report §10; UI-Prototypes/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 mitigation progress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Progress table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2 Report §§13–14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total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Risk-driven design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03-Elaboration-Iteration-2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Prioritised features implemented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 list + later code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3–4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Report §§3–7</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Implemented in apoza/</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 cases (unit + integration)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UT/IT catalogues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3–4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Report §§8–12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21/21 pytest passed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Version control &amp; CI adherence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Git/CI strategy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3–4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Report §§13–15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Git repo + CI strategy documented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Defect tracking log</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 template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3–4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Report §§16–17</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Template ready; populate during construction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 implementation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05-Construction-Testing</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 ready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 testing report (user feedback)</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 plan + later results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Report §§2–7</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 only</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Performance/security fixes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 plans + later fixes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Report §§8–11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 only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Final documentation (models, user manual)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Manual + updated models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Manual; Transition §12–15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Manual drafted from design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Polishing &amp; deployment prep</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06 + 07</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 ready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Live demo (key scenarios shown)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plan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Week 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Final Report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 only</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Final report (UP reflection, lessons)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Final report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Week 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08-Final-Report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Written for design phase; construction reflection pending</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Code repository (Git) &amp; completeness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Repository contents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Week 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Pharmacy-POS/ + apoza/</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Code and docs present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&amp; submission 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&amp; final submission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08 + Presentation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 ready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Late submission penalty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−10%/week</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applied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Plagiarism</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Zero tolerance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Original pharmacy adaptation of Larman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All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All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All docs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Larman cited; NextGen not copied blindly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Bonus (optional, up to 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 to 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GoF / CI-CD / UX</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Later</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Later</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claimed yet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PaymentMethod seam may later support a GoF Strategy bonus — not claimed as done</w:t>
            </w:r>
          </w:p>
        </w:tc>
      </w:tr>
    </w:tbl>
    <w:p/>
    <w:p>
      <w:pPr>
        <w:pStyle w:val="Heading1"/>
      </w:pPr>
      <w:r>
        <w:t>3. Notes</w:t>
      </w:r>
    </w:p>
    <w:p>
      <w:pPr>
        <w:spacing w:after="160"/>
      </w:pPr>
      <w:r>
        <w:rPr>
          <w:rFonts w:ascii="Calibri" w:hAnsi="Calibri" w:eastAsia="Calibri"/>
          <w:b w:val="0"/>
          <w:i w:val="0"/>
          <w:color w:val="1A2332"/>
          <w:sz w:val="22"/>
        </w:rPr>
        <w:t>Status “Complete (docs)” means the marking artefact exists as analysis/design. It does not mean software was written. Claiming implemented features or measured beta results would violate the no-fake-results rule.</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Marking Compliance Matrix    |    Project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