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Elaboration Iteration 1 Report</w:t>
      </w:r>
    </w:p>
    <w:p>
      <w:pPr>
        <w:jc w:val="center"/>
      </w:pPr>
      <w:r>
        <w:rPr>
          <w:rFonts w:ascii="Calibri" w:hAnsi="Calibri" w:eastAsia="Calibri"/>
          <w:b w:val="0"/>
          <w:i w:val="0"/>
          <w:color w:val="1A7A6D"/>
          <w:sz w:val="28"/>
        </w:rPr>
        <w:t>30% use cases, SSDs, domain model, architectural proof-of-concept</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Elaboration Iteration 1 is the first real development iteration in Larman’s sense: not coding the whole product, but investigating the core so that Construction is not a guess. The marking guide awards 20 marks for detailed 30% use cases with SSDs, a domain model of conceptual classes, an architectural proof-of-concept, and an updated risk list.</w:t>
      </w:r>
    </w:p>
    <w:p>
      <w:pPr>
        <w:pStyle w:val="Heading1"/>
      </w:pPr>
      <w:r>
        <w:t>2. Iteration Objectives</w:t>
      </w:r>
    </w:p>
    <w:p>
      <w:pPr>
        <w:pStyle w:val="ListBullet"/>
      </w:pPr>
      <w:r>
        <w:rPr>
          <w:rFonts w:ascii="Calibri" w:hAnsi="Calibri" w:eastAsia="Calibri"/>
          <w:b w:val="0"/>
          <w:i w:val="0"/>
          <w:color w:val="1A2332"/>
          <w:sz w:val="22"/>
        </w:rPr>
        <w:t>Fully dress the 30% use cases UC-01, UC-02, and UC-03.</w:t>
      </w:r>
    </w:p>
    <w:p>
      <w:pPr>
        <w:pStyle w:val="ListBullet"/>
      </w:pPr>
      <w:r>
        <w:rPr>
          <w:rFonts w:ascii="Calibri" w:hAnsi="Calibri" w:eastAsia="Calibri"/>
          <w:b w:val="0"/>
          <w:i w:val="0"/>
          <w:color w:val="1A2332"/>
          <w:sz w:val="22"/>
        </w:rPr>
        <w:t>Describe key scenarios of Process Sale (OTC success, prescription-linked, expiry refusal).</w:t>
      </w:r>
    </w:p>
    <w:p>
      <w:pPr>
        <w:pStyle w:val="ListBullet"/>
      </w:pPr>
      <w:r>
        <w:rPr>
          <w:rFonts w:ascii="Calibri" w:hAnsi="Calibri" w:eastAsia="Calibri"/>
          <w:b w:val="0"/>
          <w:i w:val="0"/>
          <w:color w:val="1A2332"/>
          <w:sz w:val="22"/>
        </w:rPr>
        <w:t>Draw SSDs that treat the system as a black box.</w:t>
      </w:r>
    </w:p>
    <w:p>
      <w:pPr>
        <w:pStyle w:val="ListBullet"/>
      </w:pPr>
      <w:r>
        <w:rPr>
          <w:rFonts w:ascii="Calibri" w:hAnsi="Calibri" w:eastAsia="Calibri"/>
          <w:b w:val="0"/>
          <w:i w:val="0"/>
          <w:color w:val="1A2332"/>
          <w:sz w:val="22"/>
        </w:rPr>
        <w:t>Build a conceptual domain model without methods.</w:t>
      </w:r>
    </w:p>
    <w:p>
      <w:pPr>
        <w:pStyle w:val="ListBullet"/>
      </w:pPr>
      <w:r>
        <w:rPr>
          <w:rFonts w:ascii="Calibri" w:hAnsi="Calibri" w:eastAsia="Calibri"/>
          <w:b w:val="0"/>
          <w:i w:val="0"/>
          <w:color w:val="1A2332"/>
          <w:sz w:val="22"/>
        </w:rPr>
        <w:t>Propose a layered architecture and a Process Sale path as proof-of-concept.</w:t>
      </w:r>
    </w:p>
    <w:p>
      <w:pPr>
        <w:pStyle w:val="ListBullet"/>
      </w:pPr>
      <w:r>
        <w:rPr>
          <w:rFonts w:ascii="Calibri" w:hAnsi="Calibri" w:eastAsia="Calibri"/>
          <w:b w:val="0"/>
          <w:i w:val="0"/>
          <w:color w:val="1A2332"/>
          <w:sz w:val="22"/>
        </w:rPr>
        <w:t>Sketch the persistence idea that later becomes the schema.</w:t>
      </w:r>
    </w:p>
    <w:p>
      <w:pPr>
        <w:pStyle w:val="ListBullet"/>
      </w:pPr>
      <w:r>
        <w:rPr>
          <w:rFonts w:ascii="Calibri" w:hAnsi="Calibri" w:eastAsia="Calibri"/>
          <w:b w:val="0"/>
          <w:i w:val="0"/>
          <w:color w:val="1A2332"/>
          <w:sz w:val="22"/>
        </w:rPr>
        <w:t>Update risks now that the spine is visible.</w:t>
      </w:r>
    </w:p>
    <w:p>
      <w:pPr>
        <w:pStyle w:val="Heading1"/>
      </w:pPr>
      <w:r>
        <w:t>3. Selected 30% Use Cases</w:t>
      </w:r>
    </w:p>
    <w:p>
      <w:pPr>
        <w:spacing w:after="160"/>
      </w:pPr>
      <w:r>
        <w:rPr>
          <w:rFonts w:ascii="Calibri" w:hAnsi="Calibri" w:eastAsia="Calibri"/>
          <w:b w:val="0"/>
          <w:i w:val="0"/>
          <w:color w:val="1A2332"/>
          <w:sz w:val="22"/>
        </w:rPr>
        <w:t>Thirty percent of ten use cases is three. They are not a random third. They are the identity boundary, the money-and-stock transaction, and the catalogue the transaction depends on.</w:t>
      </w:r>
    </w:p>
    <w:p>
      <w:pPr>
        <w:jc w:val="center"/>
      </w:pPr>
      <w:r>
        <w:drawing>
          <wp:inline xmlns:a="http://schemas.openxmlformats.org/drawingml/2006/main" xmlns:pic="http://schemas.openxmlformats.org/drawingml/2006/picture">
            <wp:extent cx="5688000" cy="3502389"/>
            <wp:docPr id="1" name="Picture 1"/>
            <wp:cNvGraphicFramePr>
              <a:graphicFrameLocks noChangeAspect="1"/>
            </wp:cNvGraphicFramePr>
            <a:graphic>
              <a:graphicData uri="http://schemas.openxmlformats.org/drawingml/2006/picture">
                <pic:pic>
                  <pic:nvPicPr>
                    <pic:cNvPr id="0" name="UC-Elaboration1-30-Percent.png"/>
                    <pic:cNvPicPr/>
                  </pic:nvPicPr>
                  <pic:blipFill>
                    <a:blip r:embed="rId11"/>
                    <a:stretch>
                      <a:fillRect/>
                    </a:stretch>
                  </pic:blipFill>
                  <pic:spPr>
                    <a:xfrm>
                      <a:off x="0" y="0"/>
                      <a:ext cx="5688000" cy="3502389"/>
                    </a:xfrm>
                    <a:prstGeom prst="rect"/>
                  </pic:spPr>
                </pic:pic>
              </a:graphicData>
            </a:graphic>
          </wp:inline>
        </w:drawing>
      </w:r>
    </w:p>
    <w:p>
      <w:pPr>
        <w:spacing w:after="80"/>
      </w:pPr>
      <w:r>
        <w:rPr>
          <w:rFonts w:ascii="Calibri" w:hAnsi="Calibri" w:eastAsia="Calibri"/>
          <w:b w:val="0"/>
          <w:i/>
          <w:color w:val="1A7A6D"/>
          <w:sz w:val="20"/>
        </w:rPr>
        <w:t>Figure 1: Elaboration 1 use-case selection</w:t>
      </w:r>
    </w:p>
    <w:p>
      <w:pPr>
        <w:spacing w:after="240"/>
      </w:pPr>
      <w:r>
        <w:rPr>
          <w:rFonts w:ascii="Calibri" w:hAnsi="Calibri" w:eastAsia="Calibri"/>
          <w:b w:val="0"/>
          <w:i w:val="0"/>
          <w:color w:val="5B6770"/>
          <w:sz w:val="20"/>
        </w:rPr>
        <w:t>Administrator and Pharmacist/Cashier both authenticate. Only the Pharmacist processes a sale. Only the Administrator maintains medicines.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bl>
    <w:p/>
    <w:p>
      <w:pPr>
        <w:pStyle w:val="Heading1"/>
      </w:pPr>
      <w:r>
        <w:t>4. Detailed Use Cases</w:t>
      </w:r>
    </w:p>
    <w:p>
      <w:pPr>
        <w:pStyle w:val="Heading3"/>
      </w:pPr>
      <w:r>
        <w:t>UC-01  Authenticate User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 (Administrator 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user has an active account. The application is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session exists, the role is known, and the correct home screen is shown.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are never displayed or stored in recoverable form.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login on the counter or 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the start of each shift and after session timeout.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Gains access only to functions of their assigned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Unauthorised people cannot sell or alter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Failed and successful logins can be investigated.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staff member starts the Pharmacy POS application.</w:t>
      </w:r>
    </w:p>
    <w:p>
      <w:pPr>
        <w:spacing w:after="160"/>
      </w:pPr>
      <w:r>
        <w:rPr>
          <w:rFonts w:ascii="Calibri" w:hAnsi="Calibri" w:eastAsia="Calibri"/>
          <w:b w:val="0"/>
          <w:i w:val="0"/>
          <w:color w:val="1A2332"/>
          <w:sz w:val="22"/>
        </w:rPr>
        <w:t>2.  The system presents the login prompt.</w:t>
      </w:r>
    </w:p>
    <w:p>
      <w:pPr>
        <w:spacing w:after="160"/>
      </w:pPr>
      <w:r>
        <w:rPr>
          <w:rFonts w:ascii="Calibri" w:hAnsi="Calibri" w:eastAsia="Calibri"/>
          <w:b w:val="0"/>
          <w:i w:val="0"/>
          <w:color w:val="1A2332"/>
          <w:sz w:val="22"/>
        </w:rPr>
        <w:t>3.  The staff member enters username and password.</w:t>
      </w:r>
    </w:p>
    <w:p>
      <w:pPr>
        <w:spacing w:after="160"/>
      </w:pPr>
      <w:r>
        <w:rPr>
          <w:rFonts w:ascii="Calibri" w:hAnsi="Calibri" w:eastAsia="Calibri"/>
          <w:b w:val="0"/>
          <w:i w:val="0"/>
          <w:color w:val="1A2332"/>
          <w:sz w:val="22"/>
        </w:rPr>
        <w:t>4.  The system verifies the credentials against the stored password hash and confirms the account is active.</w:t>
      </w:r>
    </w:p>
    <w:p>
      <w:pPr>
        <w:spacing w:after="160"/>
      </w:pPr>
      <w:r>
        <w:rPr>
          <w:rFonts w:ascii="Calibri" w:hAnsi="Calibri" w:eastAsia="Calibri"/>
          <w:b w:val="0"/>
          <w:i w:val="0"/>
          <w:color w:val="1A2332"/>
          <w:sz w:val="22"/>
        </w:rPr>
        <w:t>5.  The system creates a session containing user identity and role.</w:t>
      </w:r>
    </w:p>
    <w:p>
      <w:pPr>
        <w:spacing w:after="160"/>
      </w:pPr>
      <w:r>
        <w:rPr>
          <w:rFonts w:ascii="Calibri" w:hAnsi="Calibri" w:eastAsia="Calibri"/>
          <w:b w:val="0"/>
          <w:i w:val="0"/>
          <w:color w:val="1A2332"/>
          <w:sz w:val="22"/>
        </w:rPr>
        <w:t>6.  The system opens the Administrator dashboard or the Pharmacist sales screen according to role.</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Credentials are wrong: the system refuses access, records a failed-login audit entry, and invites a retry.</w:t>
      </w:r>
    </w:p>
    <w:p>
      <w:pPr>
        <w:pStyle w:val="ListBullet"/>
      </w:pPr>
      <w:r>
        <w:rPr>
          <w:rFonts w:ascii="Calibri" w:hAnsi="Calibri" w:eastAsia="Calibri"/>
          <w:b w:val="0"/>
          <w:i w:val="0"/>
          <w:color w:val="1A2332"/>
          <w:sz w:val="22"/>
        </w:rPr>
        <w:t>4b. Account is deactivated: the system refuses access and explains that an Administrator must restore the account.</w:t>
      </w:r>
    </w:p>
    <w:p>
      <w:pPr>
        <w:pStyle w:val="ListBullet"/>
      </w:pPr>
      <w:r>
        <w:rPr>
          <w:rFonts w:ascii="Calibri" w:hAnsi="Calibri" w:eastAsia="Calibri"/>
          <w:b w:val="0"/>
          <w:i w:val="0"/>
          <w:color w:val="1A2332"/>
          <w:sz w:val="22"/>
        </w:rPr>
        <w:t>4c. Repeated failures in a short period: the system keeps refusing and keeps the audit trail (lockout policy may be applied in construction).</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3"/>
      </w:pPr>
      <w:r>
        <w:t>UC-03  Manage Medicines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medicine catalogue reflects the intended create/update/deactivate action.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Deactivation is preferred to physical deletion so old sales remain explainable.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 keyboard and mouse.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the assortment or price list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Keeps the catalogue accurate.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find the correct sellable item at the counter.</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medicine maintenance.</w:t>
      </w:r>
    </w:p>
    <w:p>
      <w:pPr>
        <w:spacing w:after="160"/>
      </w:pPr>
      <w:r>
        <w:rPr>
          <w:rFonts w:ascii="Calibri" w:hAnsi="Calibri" w:eastAsia="Calibri"/>
          <w:b w:val="0"/>
          <w:i w:val="0"/>
          <w:color w:val="1A2332"/>
          <w:sz w:val="22"/>
        </w:rPr>
        <w:t>2.  The Administrator searches or starts a new medicine.</w:t>
      </w:r>
    </w:p>
    <w:p>
      <w:pPr>
        <w:spacing w:after="160"/>
      </w:pPr>
      <w:r>
        <w:rPr>
          <w:rFonts w:ascii="Calibri" w:hAnsi="Calibri" w:eastAsia="Calibri"/>
          <w:b w:val="0"/>
          <w:i w:val="0"/>
          <w:color w:val="1A2332"/>
          <w:sz w:val="22"/>
        </w:rPr>
        <w:t>3.  The Administrator enters or edits name, generic name, strength, form, category, prescription-required flag, selling price, and reorder level.</w:t>
      </w:r>
    </w:p>
    <w:p>
      <w:pPr>
        <w:spacing w:after="160"/>
      </w:pPr>
      <w:r>
        <w:rPr>
          <w:rFonts w:ascii="Calibri" w:hAnsi="Calibri" w:eastAsia="Calibri"/>
          <w:b w:val="0"/>
          <w:i w:val="0"/>
          <w:color w:val="1A2332"/>
          <w:sz w:val="22"/>
        </w:rPr>
        <w:t>4.  The system validates required fields and unique product code.</w:t>
      </w:r>
    </w:p>
    <w:p>
      <w:pPr>
        <w:spacing w:after="160"/>
      </w:pPr>
      <w:r>
        <w:rPr>
          <w:rFonts w:ascii="Calibri" w:hAnsi="Calibri" w:eastAsia="Calibri"/>
          <w:b w:val="0"/>
          <w:i w:val="0"/>
          <w:color w:val="1A2332"/>
          <w:sz w:val="22"/>
        </w:rPr>
        <w:t>5.  The Administrator confirms the save.</w:t>
      </w:r>
    </w:p>
    <w:p>
      <w:pPr>
        <w:spacing w:after="160"/>
      </w:pPr>
      <w:r>
        <w:rPr>
          <w:rFonts w:ascii="Calibri" w:hAnsi="Calibri" w:eastAsia="Calibri"/>
          <w:b w:val="0"/>
          <w:i w:val="0"/>
          <w:color w:val="1A2332"/>
          <w:sz w:val="22"/>
        </w:rPr>
        <w:t>6.  The system stores the medicine and records an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Duplicate product code: the system rejects the save.</w:t>
      </w:r>
    </w:p>
    <w:p>
      <w:pPr>
        <w:pStyle w:val="ListBullet"/>
      </w:pPr>
      <w:r>
        <w:rPr>
          <w:rFonts w:ascii="Calibri" w:hAnsi="Calibri" w:eastAsia="Calibri"/>
          <w:b w:val="0"/>
          <w:i w:val="0"/>
          <w:color w:val="1A2332"/>
          <w:sz w:val="22"/>
        </w:rPr>
        <w:t>4b. Invalid price or empty required field: the system rejects the save.</w:t>
      </w:r>
    </w:p>
    <w:p>
      <w:pPr>
        <w:pStyle w:val="ListBullet"/>
      </w:pPr>
      <w:r>
        <w:rPr>
          <w:rFonts w:ascii="Calibri" w:hAnsi="Calibri" w:eastAsia="Calibri"/>
          <w:b w:val="0"/>
          <w:i w:val="0"/>
          <w:color w:val="1A2332"/>
          <w:sz w:val="22"/>
        </w:rPr>
        <w:t>5a. Deactivate instead of update: the medicine remains in history but is not offered for new sale lines.</w:t>
      </w:r>
    </w:p>
    <w:p>
      <w:pPr>
        <w:pStyle w:val="Heading1"/>
      </w:pPr>
      <w:r>
        <w:t>5. Key Scenarios</w:t>
      </w:r>
    </w:p>
    <w:p>
      <w:pPr>
        <w:pStyle w:val="Heading2"/>
      </w:pPr>
      <w:r>
        <w:t>5.1 SC-01  Routine OTC sale</w:t>
      </w:r>
    </w:p>
    <w:p>
      <w:pPr>
        <w:spacing w:after="160"/>
      </w:pPr>
      <w:r>
        <w:rPr>
          <w:rFonts w:ascii="Calibri" w:hAnsi="Calibri" w:eastAsia="Calibri"/>
          <w:b w:val="0"/>
          <w:i w:val="0"/>
          <w:color w:val="1A2332"/>
          <w:sz w:val="22"/>
        </w:rPr>
        <w:t>Two unexpired OTC lines, cash tendered above the total, receipt shown. This is the main success scenario of UC-02 without attachPrescription. It is the first scenario the architectural PoC must support.</w:t>
      </w:r>
    </w:p>
    <w:p>
      <w:pPr>
        <w:pStyle w:val="Heading2"/>
      </w:pPr>
      <w:r>
        <w:t>5.2 SC-02  Prescription-linked sale</w:t>
      </w:r>
    </w:p>
    <w:p>
      <w:pPr>
        <w:spacing w:after="160"/>
      </w:pPr>
      <w:r>
        <w:rPr>
          <w:rFonts w:ascii="Calibri" w:hAnsi="Calibri" w:eastAsia="Calibri"/>
          <w:b w:val="0"/>
          <w:i w:val="0"/>
          <w:color w:val="1A2332"/>
          <w:sz w:val="22"/>
        </w:rPr>
        <w:t>A prescription-only medicine is entered. The system refuses endSale until a customer and prescription reference exist (FR-06). This scenario distinguishes a pharmacy POS from NextGen’s store example.</w:t>
      </w:r>
    </w:p>
    <w:p>
      <w:pPr>
        <w:pStyle w:val="Heading2"/>
      </w:pPr>
      <w:r>
        <w:t>5.3 SC-03  Expired or short stock</w:t>
      </w:r>
    </w:p>
    <w:p>
      <w:pPr>
        <w:spacing w:after="160"/>
      </w:pPr>
      <w:r>
        <w:rPr>
          <w:rFonts w:ascii="Calibri" w:hAnsi="Calibri" w:eastAsia="Calibri"/>
          <w:b w:val="0"/>
          <w:i w:val="0"/>
          <w:color w:val="1A2332"/>
          <w:sz w:val="22"/>
        </w:rPr>
        <w:t>enterItem is refused. No SalesLineItem is created. This scenario is how BO-01 and FR-05 become visible system behaviour rather than a poster slogan.</w:t>
      </w:r>
    </w:p>
    <w:p>
      <w:pPr>
        <w:pStyle w:val="Heading2"/>
      </w:pPr>
      <w:r>
        <w:t>5.4 SC-04  Administrator adds a medicine then Pharmacist sells it</w:t>
      </w:r>
    </w:p>
    <w:p>
      <w:pPr>
        <w:spacing w:after="160"/>
      </w:pPr>
      <w:r>
        <w:rPr>
          <w:rFonts w:ascii="Calibri" w:hAnsi="Calibri" w:eastAsia="Calibri"/>
          <w:b w:val="0"/>
          <w:i w:val="0"/>
          <w:color w:val="1A2332"/>
          <w:sz w:val="22"/>
        </w:rPr>
        <w:t>UC-03 then UC-02. Proves the catalogue is not a separate toy system.</w:t>
      </w:r>
    </w:p>
    <w:p>
      <w:pPr>
        <w:pStyle w:val="Heading1"/>
      </w:pPr>
      <w:r>
        <w:t>6. System Sequence Diagrams</w:t>
      </w:r>
    </w:p>
    <w:p>
      <w:pPr>
        <w:spacing w:after="160"/>
      </w:pPr>
      <w:r>
        <w:rPr>
          <w:rFonts w:ascii="Calibri" w:hAnsi="Calibri" w:eastAsia="Calibri"/>
          <w:b w:val="0"/>
          <w:i w:val="0"/>
          <w:color w:val="1A2332"/>
          <w:sz w:val="22"/>
        </w:rPr>
        <w:t>Larman Chapter 9: an SSD shows actors and the system as a black box. Interior classes are not shown. Event names express intent (enterItem, not scan).</w:t>
      </w:r>
    </w:p>
    <w:p>
      <w:pPr>
        <w:jc w:val="center"/>
      </w:pPr>
      <w:r>
        <w:drawing>
          <wp:inline xmlns:a="http://schemas.openxmlformats.org/drawingml/2006/main" xmlns:pic="http://schemas.openxmlformats.org/drawingml/2006/picture">
            <wp:extent cx="5688000" cy="4463370"/>
            <wp:docPr id="2" name="Picture 2"/>
            <wp:cNvGraphicFramePr>
              <a:graphicFrameLocks noChangeAspect="1"/>
            </wp:cNvGraphicFramePr>
            <a:graphic>
              <a:graphicData uri="http://schemas.openxmlformats.org/drawingml/2006/picture">
                <pic:pic>
                  <pic:nvPicPr>
                    <pic:cNvPr id="0" name="SSD-UC02-Process-Sale.png"/>
                    <pic:cNvPicPr/>
                  </pic:nvPicPr>
                  <pic:blipFill>
                    <a:blip r:embed="rId12"/>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2: SSD for UC-02 Process Sale</w:t>
      </w:r>
    </w:p>
    <w:p>
      <w:pPr>
        <w:spacing w:after="240"/>
      </w:pPr>
      <w:r>
        <w:rPr>
          <w:rFonts w:ascii="Calibri" w:hAnsi="Calibri" w:eastAsia="Calibri"/>
          <w:b w:val="0"/>
          <w:i w:val="0"/>
          <w:color w:val="5B6770"/>
          <w:sz w:val="20"/>
        </w:rPr>
        <w:t>System events: makeNewSale, enterItem, attachPrescription, endSale, makePayment. The Customer generates none of them.</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1-Authenticat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for UC-01 Authenticate User</w:t>
      </w:r>
    </w:p>
    <w:p>
      <w:pPr>
        <w:spacing w:after="240"/>
      </w:pPr>
      <w:r>
        <w:rPr>
          <w:rFonts w:ascii="Calibri" w:hAnsi="Calibri" w:eastAsia="Calibri"/>
          <w:b w:val="0"/>
          <w:i w:val="0"/>
          <w:color w:val="5B6770"/>
          <w:sz w:val="20"/>
        </w:rPr>
        <w:t>submitCredentials is the intent-level event. Role-specific home view is the output.</w:t>
      </w:r>
    </w:p>
    <w:p>
      <w:pPr>
        <w:jc w:val="center"/>
      </w:pPr>
      <w:r>
        <w:drawing>
          <wp:inline xmlns:a="http://schemas.openxmlformats.org/drawingml/2006/main" xmlns:pic="http://schemas.openxmlformats.org/drawingml/2006/picture">
            <wp:extent cx="5688000" cy="4463370"/>
            <wp:docPr id="4" name="Picture 4"/>
            <wp:cNvGraphicFramePr>
              <a:graphicFrameLocks noChangeAspect="1"/>
            </wp:cNvGraphicFramePr>
            <a:graphic>
              <a:graphicData uri="http://schemas.openxmlformats.org/drawingml/2006/picture">
                <pic:pic>
                  <pic:nvPicPr>
                    <pic:cNvPr id="0" name="SSD-UC03-Manage-Medicines.png"/>
                    <pic:cNvPicPr/>
                  </pic:nvPicPr>
                  <pic:blipFill>
                    <a:blip r:embed="rId14"/>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4: SSD for UC-03 Manage Medicines</w:t>
      </w:r>
    </w:p>
    <w:p>
      <w:pPr>
        <w:spacing w:after="240"/>
      </w:pPr>
      <w:r>
        <w:rPr>
          <w:rFonts w:ascii="Calibri" w:hAnsi="Calibri" w:eastAsia="Calibri"/>
          <w:b w:val="0"/>
          <w:i w:val="0"/>
          <w:color w:val="5B6770"/>
          <w:sz w:val="20"/>
        </w:rPr>
        <w:t>saveMedicine and deactivateMedicine are Administrator system events.</w:t>
      </w:r>
    </w:p>
    <w:p>
      <w:pPr>
        <w:pStyle w:val="Heading1"/>
      </w:pPr>
      <w:r>
        <w:t>7. Domain Model</w:t>
      </w:r>
    </w:p>
    <w:p>
      <w:pPr>
        <w:spacing w:after="160"/>
      </w:pPr>
      <w:r>
        <w:rPr>
          <w:rFonts w:ascii="Calibri" w:hAnsi="Calibri" w:eastAsia="Calibri"/>
          <w:b w:val="0"/>
          <w:i w:val="0"/>
          <w:color w:val="1A2332"/>
          <w:sz w:val="22"/>
        </w:rPr>
        <w:t>The domain model is conceptual. It lists ideas the business already has, not software controllers. Methods are omitted on purpose (Larman: do not confuse the domain model with a design class diagram).</w:t>
      </w:r>
    </w:p>
    <w:p>
      <w:pPr>
        <w:jc w:val="center"/>
      </w:pPr>
      <w:r>
        <w:drawing>
          <wp:inline xmlns:a="http://schemas.openxmlformats.org/drawingml/2006/main" xmlns:pic="http://schemas.openxmlformats.org/drawingml/2006/picture">
            <wp:extent cx="5688000" cy="4144953"/>
            <wp:docPr id="5" name="Picture 5"/>
            <wp:cNvGraphicFramePr>
              <a:graphicFrameLocks noChangeAspect="1"/>
            </wp:cNvGraphicFramePr>
            <a:graphic>
              <a:graphicData uri="http://schemas.openxmlformats.org/drawingml/2006/picture">
                <pic:pic>
                  <pic:nvPicPr>
                    <pic:cNvPr id="0" name="Domain-Model.png"/>
                    <pic:cNvPicPr/>
                  </pic:nvPicPr>
                  <pic:blipFill>
                    <a:blip r:embed="rId15"/>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5: Conceptual domain model</w:t>
      </w:r>
    </w:p>
    <w:p>
      <w:pPr>
        <w:spacing w:after="240"/>
      </w:pPr>
      <w:r>
        <w:rPr>
          <w:rFonts w:ascii="Calibri" w:hAnsi="Calibri" w:eastAsia="Calibri"/>
          <w:b w:val="0"/>
          <w:i w:val="0"/>
          <w:color w:val="5B6770"/>
          <w:sz w:val="20"/>
        </w:rPr>
        <w:t>Need-to-know associations are kept. NextGen’s Register is omitted: a single-counter pharmacy records Sale against User. Receipt is an output, not a concept.</w:t>
      </w:r>
    </w:p>
    <w:p>
      <w:pPr>
        <w:pStyle w:val="Heading1"/>
      </w:pPr>
      <w:r>
        <w:t>8. Conceptual Classes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Conceptual class</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 in this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pharmacy that owns catalogue, stock, users, and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person with a system account. Role is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sellable pharmaceutical product definition (catalogue item).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MedicineCategory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grouping such as antibiotic, analgesic, or OTC sundry.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physical quantity of a medicine with batch number and expiry.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sales transaction in progress or completed.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on a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recorded against a sale (cash, card, or mobile money).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patient or buyer recorded when a name is required.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authority to dispense specific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authorised on a prescription.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external wholesaler or manufacturer source of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delivery of stock from a supplier.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StockReceiptLine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batch line on a stock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StockAdjustment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non-sale quantity change with a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AuditEntry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security- or stock-sensitive action.</w:t>
            </w:r>
          </w:p>
        </w:tc>
      </w:tr>
    </w:tbl>
    <w:p/>
    <w:p>
      <w:pPr>
        <w:spacing w:after="160"/>
      </w:pPr>
      <w:r>
        <w:rPr>
          <w:rFonts w:ascii="Calibri" w:hAnsi="Calibri" w:eastAsia="Calibri"/>
          <w:b w:val="0"/>
          <w:i w:val="0"/>
          <w:color w:val="1A2332"/>
          <w:sz w:val="22"/>
        </w:rPr>
        <w:t>Medicine is the catalogue description. StockBatch is the physical, expiring quantity. That split is the pharmacy analogue of Larman’s ProductSpecification versus Item, adapted rather than copied: pharmacies care about batch number and expiry more than about serialized items.</w:t>
      </w:r>
    </w:p>
    <w:p>
      <w:pPr>
        <w:pStyle w:val="Heading1"/>
      </w:pPr>
      <w:r>
        <w:t>9. Architectural Proof-of-Concept</w:t>
      </w:r>
    </w:p>
    <w:p>
      <w:pPr>
        <w:spacing w:after="160"/>
      </w:pPr>
      <w:r>
        <w:rPr>
          <w:rFonts w:ascii="Calibri" w:hAnsi="Calibri" w:eastAsia="Calibri"/>
          <w:b w:val="0"/>
          <w:i w:val="0"/>
          <w:color w:val="1A2332"/>
          <w:sz w:val="22"/>
        </w:rPr>
        <w:t>The PoC question is not “can we draw four boxes?” It is: can makeNewSale, enterItem, endSale, and makePayment travel from a view through a controller into Sale and StockBatch and back out through a repository without the view knowing SQL, and without completing a sale if stock cannot move?</w:t>
      </w:r>
    </w:p>
    <w:p>
      <w:pPr>
        <w:jc w:val="center"/>
      </w:pPr>
      <w:r>
        <w:drawing>
          <wp:inline xmlns:a="http://schemas.openxmlformats.org/drawingml/2006/main" xmlns:pic="http://schemas.openxmlformats.org/drawingml/2006/picture">
            <wp:extent cx="5688000" cy="3313052"/>
            <wp:docPr id="6" name="Picture 6"/>
            <wp:cNvGraphicFramePr>
              <a:graphicFrameLocks noChangeAspect="1"/>
            </wp:cNvGraphicFramePr>
            <a:graphic>
              <a:graphicData uri="http://schemas.openxmlformats.org/drawingml/2006/picture">
                <pic:pic>
                  <pic:nvPicPr>
                    <pic:cNvPr id="0" name="Architecture-Sale-Path.png"/>
                    <pic:cNvPicPr/>
                  </pic:nvPicPr>
                  <pic:blipFill>
                    <a:blip r:embed="rId16"/>
                    <a:stretch>
                      <a:fillRect/>
                    </a:stretch>
                  </pic:blipFill>
                  <pic:spPr>
                    <a:xfrm>
                      <a:off x="0" y="0"/>
                      <a:ext cx="5688000" cy="3313052"/>
                    </a:xfrm>
                    <a:prstGeom prst="rect"/>
                  </pic:spPr>
                </pic:pic>
              </a:graphicData>
            </a:graphic>
          </wp:inline>
        </w:drawing>
      </w:r>
    </w:p>
    <w:p>
      <w:pPr>
        <w:spacing w:after="80"/>
      </w:pPr>
      <w:r>
        <w:rPr>
          <w:rFonts w:ascii="Calibri" w:hAnsi="Calibri" w:eastAsia="Calibri"/>
          <w:b w:val="0"/>
          <w:i/>
          <w:color w:val="1A7A6D"/>
          <w:sz w:val="20"/>
        </w:rPr>
        <w:t>Figure 6: Process Sale path used as the proof-of-concept</w:t>
      </w:r>
    </w:p>
    <w:p>
      <w:pPr>
        <w:spacing w:after="240"/>
      </w:pPr>
      <w:r>
        <w:rPr>
          <w:rFonts w:ascii="Calibri" w:hAnsi="Calibri" w:eastAsia="Calibri"/>
          <w:b w:val="0"/>
          <w:i w:val="0"/>
          <w:color w:val="5B6770"/>
          <w:sz w:val="20"/>
        </w:rPr>
        <w:t>If this path cannot be explained, Construction of reports or user-admin would be theatre.</w:t>
      </w:r>
    </w:p>
    <w:p>
      <w:pPr>
        <w:pStyle w:val="Heading1"/>
      </w:pPr>
      <w:r>
        <w:t>10. Layered Architecture</w:t>
      </w:r>
    </w:p>
    <w:p>
      <w:pPr>
        <w:jc w:val="center"/>
      </w:pPr>
      <w:r>
        <w:drawing>
          <wp:inline xmlns:a="http://schemas.openxmlformats.org/drawingml/2006/main" xmlns:pic="http://schemas.openxmlformats.org/drawingml/2006/picture">
            <wp:extent cx="5688000" cy="3964716"/>
            <wp:docPr id="7" name="Picture 7"/>
            <wp:cNvGraphicFramePr>
              <a:graphicFrameLocks noChangeAspect="1"/>
            </wp:cNvGraphicFramePr>
            <a:graphic>
              <a:graphicData uri="http://schemas.openxmlformats.org/drawingml/2006/picture">
                <pic:pic>
                  <pic:nvPicPr>
                    <pic:cNvPr id="0" name="Layered-Architecture-PoC.png"/>
                    <pic:cNvPicPr/>
                  </pic:nvPicPr>
                  <pic:blipFill>
                    <a:blip r:embed="rId17"/>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7: Layered architecture</w:t>
      </w:r>
    </w:p>
    <w:p>
      <w:pPr>
        <w:spacing w:after="240"/>
      </w:pPr>
      <w:r>
        <w:rPr>
          <w:rFonts w:ascii="Calibri" w:hAnsi="Calibri" w:eastAsia="Calibri"/>
          <w:b w:val="0"/>
          <w:i w:val="0"/>
          <w:color w:val="5B6770"/>
          <w:sz w:val="20"/>
        </w:rPr>
        <w:t>Dependencies point down. Presentation never imports repositories. External payment gateways remain a seam, not a dependency of Sale.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Layer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Depends 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Major components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Screens and user gestures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LoginView, POSView, PaymentView, admin views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events (GRASP Controller)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 AuthController, MedicineController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rules and totals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nothing above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 StockBatch, Payment, Medicine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Store and reconstitute aggregates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engine (later)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InventoryRepository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boundary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Printer / manual pay confirm</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called via Indirection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 PaymentMethod implementations</w:t>
            </w:r>
          </w:p>
        </w:tc>
      </w:tr>
    </w:tbl>
    <w:p/>
    <w:p>
      <w:pPr>
        <w:pStyle w:val="Heading1"/>
      </w:pPr>
      <w:r>
        <w:t>11. Architectural Decisions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Decision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Rationale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Alternative rejected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architecture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Marking guide example; separates UI from rules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Smart UI with SQL in button handlers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Use-case controllers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Larman Controller; maps 1:1 to SSDs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god service for the whole system</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Two roles as an enumeration on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Project rule; avoids a role table that invites a third role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role names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Batch-level stock</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and recall require it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single quantity on Medicine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confirmation of card/mobile money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 Protected Variations keeps a PaymentMethod seam</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Pretending a live gateway exists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Register class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counter; User records the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Copying NextGen Register without a need-to-know reason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before code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instruction and risk R-07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Coding screens during Inception</w:t>
            </w:r>
          </w:p>
        </w:tc>
      </w:tr>
    </w:tbl>
    <w:p/>
    <w:p>
      <w:pPr>
        <w:pStyle w:val="Heading1"/>
      </w:pPr>
      <w:r>
        <w:t>12. Initial Database Design Concept</w:t>
      </w:r>
    </w:p>
    <w:p>
      <w:pPr>
        <w:spacing w:after="160"/>
      </w:pPr>
      <w:r>
        <w:rPr>
          <w:rFonts w:ascii="Calibri" w:hAnsi="Calibri" w:eastAsia="Calibri"/>
          <w:b w:val="0"/>
          <w:i w:val="0"/>
          <w:color w:val="1A2332"/>
          <w:sz w:val="22"/>
        </w:rPr>
        <w:t>Persistence is still a design idea. Tables that must exist later are already implied by the domain model: users, medicines, stock_batches, sales, sale_items, payments, customers, prescriptions. Passwords will be hashes. The full schema, ERD, and normalisation argument belong to Elaboration 2 so that this iteration stays on behaviour and architecture.</w:t>
      </w:r>
    </w:p>
    <w:p>
      <w:pPr>
        <w:jc w:val="center"/>
      </w:pPr>
      <w:r>
        <w:drawing>
          <wp:inline xmlns:a="http://schemas.openxmlformats.org/drawingml/2006/main" xmlns:pic="http://schemas.openxmlformats.org/drawingml/2006/picture">
            <wp:extent cx="5688000" cy="3577548"/>
            <wp:docPr id="8" name="Picture 8"/>
            <wp:cNvGraphicFramePr>
              <a:graphicFrameLocks noChangeAspect="1"/>
            </wp:cNvGraphicFramePr>
            <a:graphic>
              <a:graphicData uri="http://schemas.openxmlformats.org/drawingml/2006/picture">
                <pic:pic>
                  <pic:nvPicPr>
                    <pic:cNvPr id="0" name="Schema-Groups.png"/>
                    <pic:cNvPicPr/>
                  </pic:nvPicPr>
                  <pic:blipFill>
                    <a:blip r:embed="rId18"/>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8: Intended schema groups (concept only)</w:t>
      </w:r>
    </w:p>
    <w:p>
      <w:pPr>
        <w:spacing w:after="240"/>
      </w:pPr>
      <w:r>
        <w:rPr>
          <w:rFonts w:ascii="Calibri" w:hAnsi="Calibri" w:eastAsia="Calibri"/>
          <w:b w:val="0"/>
          <w:i w:val="0"/>
          <w:color w:val="5B6770"/>
          <w:sz w:val="20"/>
        </w:rPr>
        <w:t>Groups, not CREATE TABLE scripts. Implementation SQL is forbidden until START IMPLEMENTATION.</w:t>
      </w:r>
    </w:p>
    <w:p>
      <w:pPr>
        <w:pStyle w:val="Heading1"/>
      </w:pPr>
      <w:r>
        <w:t>13. Updated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PoC specifies a single application transaction around completeSale.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 specified: only unexpired sellable batches are chosen.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Use-case and SSD actors confirmed as two system users.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and operation contract tie makePayment to completion.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concept kept on one surface.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Insurance and web shop remain out of scope.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1 limited to 30% architecturally significant use cases.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Logical schema started; physical DB still 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attachPrescription is a first-class system event.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PoC documented with clear dependencies.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bl>
    <w:p/>
    <w:p>
      <w:pPr>
        <w:pStyle w:val="Heading1"/>
      </w:pPr>
      <w:r>
        <w:t>14. Risk Analysis</w:t>
      </w:r>
    </w:p>
    <w:p>
      <w:pPr>
        <w:spacing w:after="160"/>
      </w:pPr>
      <w:r>
        <w:rPr>
          <w:rFonts w:ascii="Calibri" w:hAnsi="Calibri" w:eastAsia="Calibri"/>
          <w:b w:val="0"/>
          <w:i w:val="0"/>
          <w:color w:val="1A2332"/>
          <w:sz w:val="22"/>
        </w:rPr>
        <w:t>R-01 and R-04 are the same family: money and stock must move together. The PoC answers them with a single completion operation. R-02 is answered by StockBatch as Information Expert. R-10 is answered by the layer diagram. R-05 (training) is not an architecture risk and is left open for Transition. No risk is marked “closed by implementation” because implementation has not started.</w:t>
      </w:r>
    </w:p>
    <w:p>
      <w:pPr>
        <w:pStyle w:val="Heading1"/>
      </w:pPr>
      <w:r>
        <w:t>15. Iteration Results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Planned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 in this documentation pack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detailed use cases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UC-02, UC-03 fully dressed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 scenarios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SC-01 to SC-04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UC-02, 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model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classes and associations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PoC</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design + sale path</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risks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Statuses moved to Mitigating where design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Working application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produced — correctly out of this iteration’s documentation objective</w:t>
            </w:r>
          </w:p>
        </w:tc>
      </w:tr>
    </w:tbl>
    <w:p/>
    <w:p>
      <w:pPr>
        <w:pStyle w:val="Heading1"/>
      </w:pPr>
      <w:r>
        <w:t>16. Conclusion</w:t>
      </w:r>
    </w:p>
    <w:p>
      <w:pPr>
        <w:spacing w:after="160"/>
      </w:pPr>
      <w:r>
        <w:rPr>
          <w:rFonts w:ascii="Calibri" w:hAnsi="Calibri" w:eastAsia="Calibri"/>
          <w:b w:val="0"/>
          <w:i w:val="0"/>
          <w:color w:val="1A2332"/>
          <w:sz w:val="22"/>
        </w:rPr>
        <w:t>Iteration 1 has a behavioural spine and an architecture that can carry it. Iteration 2 must finish the use-case set, assign methods with GRASP, prototype the UI, and lock the logical database — still without writing the product.</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Elaboration Iteration 1    |    Weeks 3–5  ·  20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