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Transition and Beta Testing Report</w:t>
      </w:r>
    </w:p>
    <w:p>
      <w:pPr>
        <w:jc w:val="center"/>
      </w:pPr>
      <w:r>
        <w:rPr>
          <w:rFonts w:ascii="Calibri" w:hAnsi="Calibri" w:eastAsia="Calibri"/>
          <w:b w:val="0"/>
          <w:i w:val="0"/>
          <w:color w:val="1A7A6D"/>
          <w:sz w:val="28"/>
        </w:rPr>
        <w:t>Iteration 5 — plans for beta, performance, security, and final models</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Transition Overview</w:t>
      </w:r>
    </w:p>
    <w:p>
      <w:pPr>
        <w:spacing w:after="160"/>
      </w:pPr>
      <w:r>
        <w:rPr>
          <w:rFonts w:ascii="Calibri" w:hAnsi="Calibri" w:eastAsia="Calibri"/>
          <w:b w:val="0"/>
          <w:i w:val="0"/>
          <w:color w:val="1A2332"/>
          <w:sz w:val="22"/>
        </w:rPr>
        <w:t>Transition (Iteration 5, weeks 13–14, 15 marks) prepares a constructed system for real staff and for the week-15 demo. This report specifies how that work will be done. Feedback scores, timings, and security findings are not invented.</w:t>
      </w:r>
    </w:p>
    <w:p>
      <w:pPr>
        <w:spacing w:before="120" w:after="200"/>
      </w:pPr>
      <w:r>
        <w:rPr>
          <w:rFonts w:ascii="Calibri" w:hAnsi="Calibri" w:eastAsia="Calibri"/>
          <w:b/>
          <w:i/>
          <w:color w:val="8A5A00"/>
          <w:sz w:val="22"/>
        </w:rPr>
        <w:t>TRANSITION MEASUREMENTS: TO BE COMPLETED DURING TRANSITION</w:t>
      </w:r>
    </w:p>
    <w:p>
      <w:pPr>
        <w:pStyle w:val="Heading1"/>
      </w:pPr>
      <w:r>
        <w:t>2. Beta Testing Plan</w:t>
      </w:r>
    </w:p>
    <w:p>
      <w:pPr>
        <w:spacing w:after="160"/>
      </w:pPr>
      <w:r>
        <w:rPr>
          <w:rFonts w:ascii="Calibri" w:hAnsi="Calibri" w:eastAsia="Calibri"/>
          <w:b w:val="0"/>
          <w:i w:val="0"/>
          <w:color w:val="1A2332"/>
          <w:sz w:val="22"/>
        </w:rPr>
        <w:t>Beta uses the constructed build against the scenarios already named in Elaboration.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Plan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Build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branch candidate after Iteration 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Environment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single workstation + database restore of seed data</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Duration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Several short counter sessions across week 13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Facilitator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 20 member (not the test user)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rule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real patient records from an outside pharmacy without permission</w:t>
            </w:r>
          </w:p>
        </w:tc>
      </w:tr>
    </w:tbl>
    <w:p/>
    <w:p>
      <w:pPr>
        <w:pStyle w:val="Heading1"/>
      </w:pPr>
      <w:r>
        <w:t>3. Test Users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Persona</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Role in system</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person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Beta-Admin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Must exercise UC-03 to UC-07 and UC-10</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Beta-Pharmacist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Must exercise UC-02, UC-08, UC-09</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Observer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Records pauses and errors; does not hold a third role</w:t>
            </w:r>
          </w:p>
        </w:tc>
      </w:tr>
    </w:tbl>
    <w:p/>
    <w:p>
      <w:pPr>
        <w:spacing w:after="160"/>
      </w:pPr>
      <w:r>
        <w:rPr>
          <w:rFonts w:ascii="Calibri" w:hAnsi="Calibri" w:eastAsia="Calibri"/>
          <w:b w:val="0"/>
          <w:i w:val="0"/>
          <w:color w:val="1A2332"/>
          <w:sz w:val="22"/>
        </w:rPr>
        <w:t>If the same human plays both accounts, they switch sessions. They never get a merged “manager-cashier” role.</w:t>
      </w:r>
    </w:p>
    <w:p>
      <w:pPr>
        <w:pStyle w:val="Heading1"/>
      </w:pPr>
      <w:r>
        <w:t>4. Test Scenarios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Scenario</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Pass idea</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SC-01 OTC cash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total matches lines; stock down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SC-02 Prescription-linked sale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Cannot complete without prescription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SC-03 Expired batch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 refused</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SC-05 Receive then sell</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story holds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SC-06 Void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restored; sale still visible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SC-07 Role boundary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UC-01/03</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cannot open Users or Medicines edit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SC-08 Reports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 sales appear once</w:t>
            </w:r>
          </w:p>
        </w:tc>
      </w:tr>
    </w:tbl>
    <w:p/>
    <w:p>
      <w:pPr>
        <w:pStyle w:val="Heading1"/>
      </w:pPr>
      <w:r>
        <w:t>5. User Feedback</w:t>
      </w:r>
    </w:p>
    <w:p>
      <w:pPr>
        <w:spacing w:before="120" w:after="200"/>
      </w:pPr>
      <w:r>
        <w:rPr>
          <w:rFonts w:ascii="Calibri" w:hAnsi="Calibri" w:eastAsia="Calibri"/>
          <w:b/>
          <w:i/>
          <w:color w:val="8A5A00"/>
          <w:sz w:val="22"/>
        </w:rPr>
        <w:t>USER FEEDBACK QUOTES AND RATINGS: TO BE COMPLETED DURING TRANSITION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Prompt</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 can complete a three-item sale without help</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 understand why an expired item is blocked</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 never needed a Cashier account that was not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bl>
    <w:p/>
    <w:p>
      <w:pPr>
        <w:pStyle w:val="Heading1"/>
      </w:pPr>
      <w:r>
        <w:t>6. Feedback Analysis</w:t>
      </w:r>
    </w:p>
    <w:p>
      <w:pPr>
        <w:spacing w:before="120" w:after="200"/>
      </w:pPr>
      <w:r>
        <w:rPr>
          <w:rFonts w:ascii="Calibri" w:hAnsi="Calibri" w:eastAsia="Calibri"/>
          <w:b/>
          <w:i/>
          <w:color w:val="8A5A00"/>
          <w:sz w:val="22"/>
        </w:rPr>
        <w:t>FEEDBACK ANALYSIS: TO BE COMPLETED DURING TRANSITION</w:t>
      </w:r>
    </w:p>
    <w:p>
      <w:pPr>
        <w:spacing w:after="160"/>
      </w:pPr>
      <w:r>
        <w:rPr>
          <w:rFonts w:ascii="Calibri" w:hAnsi="Calibri" w:eastAsia="Calibri"/>
          <w:b w:val="0"/>
          <w:i w:val="0"/>
          <w:color w:val="1A2332"/>
          <w:sz w:val="22"/>
        </w:rPr>
        <w:t>Planned analysis method: group comments into usability, defect, and out-of-scope. Out-of-scope requests (NHIMA, web shop) are recorded as backlog, not silently built.</w:t>
      </w:r>
    </w:p>
    <w:p>
      <w:pPr>
        <w:pStyle w:val="Heading1"/>
      </w:pPr>
      <w:r>
        <w:t>7. Defects Found</w:t>
      </w:r>
    </w:p>
    <w:p>
      <w:pPr>
        <w:spacing w:before="120" w:after="200"/>
      </w:pPr>
      <w:r>
        <w:rPr>
          <w:rFonts w:ascii="Calibri" w:hAnsi="Calibri" w:eastAsia="Calibri"/>
          <w:b/>
          <w:i/>
          <w:color w:val="8A5A00"/>
          <w:sz w:val="22"/>
        </w:rPr>
        <w:t>TRANSITION DEFECTS: TO BE COMPLETED DURING TRANSITION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Severity</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fabricated defects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w:t>
            </w:r>
          </w:p>
        </w:tc>
      </w:tr>
    </w:tbl>
    <w:p/>
    <w:p>
      <w:pPr>
        <w:pStyle w:val="Heading1"/>
      </w:pPr>
      <w:r>
        <w:t>8. Performance Testing</w:t>
      </w:r>
    </w:p>
    <w:p>
      <w:pPr>
        <w:spacing w:after="160"/>
      </w:pPr>
      <w:r>
        <w:rPr>
          <w:rFonts w:ascii="Calibri" w:hAnsi="Calibri" w:eastAsia="Calibri"/>
          <w:b w:val="0"/>
          <w:i w:val="0"/>
          <w:color w:val="1A2332"/>
          <w:sz w:val="22"/>
        </w:rPr>
        <w:t>NFR-02 will be checked, not assumed.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Measure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Method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Target idea</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Result</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 to new running total</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Stopwatch on beta workstation, 20 lines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About 3 seconds typical</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completeSale persistence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Same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Should feel immediate on local DB</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bl>
    <w:p/>
    <w:p>
      <w:pPr>
        <w:pStyle w:val="Heading1"/>
      </w:pPr>
      <w:r>
        <w:t>9. Security Testing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Check</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Expected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Result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 column readable as plaintext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Must fail</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opens user-create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Denied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Idle session reused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Re-authentication required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without reason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Refused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SQL-like input in search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crash / no table dump</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bl>
    <w:p/>
    <w:p>
      <w:pPr>
        <w:pStyle w:val="Heading1"/>
      </w:pPr>
      <w:r>
        <w:t>10. Performance Improvements</w:t>
      </w:r>
    </w:p>
    <w:p>
      <w:pPr>
        <w:spacing w:before="120" w:after="200"/>
      </w:pPr>
      <w:r>
        <w:rPr>
          <w:rFonts w:ascii="Calibri" w:hAnsi="Calibri" w:eastAsia="Calibri"/>
          <w:b/>
          <w:i/>
          <w:color w:val="8A5A00"/>
          <w:sz w:val="22"/>
        </w:rPr>
        <w:t>PERFORMANCE IMPROVEMENTS APPLIED: TO BE COMPLETED DURING TRANSITION</w:t>
      </w:r>
    </w:p>
    <w:p>
      <w:pPr>
        <w:pStyle w:val="Heading1"/>
      </w:pPr>
      <w:r>
        <w:t>11. Security Improvements</w:t>
      </w:r>
    </w:p>
    <w:p>
      <w:pPr>
        <w:spacing w:before="120" w:after="200"/>
      </w:pPr>
      <w:r>
        <w:rPr>
          <w:rFonts w:ascii="Calibri" w:hAnsi="Calibri" w:eastAsia="Calibri"/>
          <w:b/>
          <w:i/>
          <w:color w:val="8A5A00"/>
          <w:sz w:val="22"/>
        </w:rPr>
        <w:t>SECURITY IMPROVEMENTS APPLIED: TO BE COMPLETED DURING TRANSITION</w:t>
      </w:r>
    </w:p>
    <w:p>
      <w:pPr>
        <w:pStyle w:val="Heading1"/>
      </w:pPr>
      <w:r>
        <w:t>12. Updated UML Models</w:t>
      </w:r>
    </w:p>
    <w:p>
      <w:pPr>
        <w:spacing w:after="160"/>
      </w:pPr>
      <w:r>
        <w:rPr>
          <w:rFonts w:ascii="Calibri" w:hAnsi="Calibri" w:eastAsia="Calibri"/>
          <w:b w:val="0"/>
          <w:i w:val="0"/>
          <w:color w:val="1A2332"/>
          <w:sz w:val="22"/>
        </w:rPr>
        <w:t>The models in Diagrams/ are the current approved set. Transition may update them if construction discovers a real concept (for example a second payment on one sale). Until then these figures remain the baseline.</w:t>
      </w:r>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Use-case model (baseline)</w:t>
      </w:r>
    </w:p>
    <w:p>
      <w:pPr>
        <w:spacing w:after="240"/>
      </w:pPr>
      <w:r>
        <w:rPr>
          <w:rFonts w:ascii="Calibri" w:hAnsi="Calibri" w:eastAsia="Calibri"/>
          <w:b w:val="0"/>
          <w:i w:val="0"/>
          <w:color w:val="5B6770"/>
          <w:sz w:val="20"/>
        </w:rPr>
        <w:t>Update only if a user goal actually changed.</w:t>
      </w:r>
    </w:p>
    <w:p>
      <w:pPr>
        <w:jc w:val="center"/>
      </w:pPr>
      <w:r>
        <w:drawing>
          <wp:inline xmlns:a="http://schemas.openxmlformats.org/drawingml/2006/main" xmlns:pic="http://schemas.openxmlformats.org/drawingml/2006/picture">
            <wp:extent cx="5688000" cy="4144953"/>
            <wp:docPr id="2" name="Picture 2"/>
            <wp:cNvGraphicFramePr>
              <a:graphicFrameLocks noChangeAspect="1"/>
            </wp:cNvGraphicFramePr>
            <a:graphic>
              <a:graphicData uri="http://schemas.openxmlformats.org/drawingml/2006/picture">
                <pic:pic>
                  <pic:nvPicPr>
                    <pic:cNvPr id="0" name="Domain-Model.png"/>
                    <pic:cNvPicPr/>
                  </pic:nvPicPr>
                  <pic:blipFill>
                    <a:blip r:embed="rId12"/>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2: Domain model (baseline)</w:t>
      </w:r>
    </w:p>
    <w:p>
      <w:pPr>
        <w:spacing w:after="240"/>
      </w:pPr>
      <w:r>
        <w:rPr>
          <w:rFonts w:ascii="Calibri" w:hAnsi="Calibri" w:eastAsia="Calibri"/>
          <w:b w:val="0"/>
          <w:i w:val="0"/>
          <w:color w:val="5B6770"/>
          <w:sz w:val="20"/>
        </w:rPr>
        <w:t>Still conceptual.</w:t>
      </w:r>
    </w:p>
    <w:p>
      <w:pPr>
        <w:jc w:val="center"/>
      </w:pPr>
      <w:r>
        <w:drawing>
          <wp:inline xmlns:a="http://schemas.openxmlformats.org/drawingml/2006/main" xmlns:pic="http://schemas.openxmlformats.org/drawingml/2006/picture">
            <wp:extent cx="5688000" cy="3899544"/>
            <wp:docPr id="3" name="Picture 3"/>
            <wp:cNvGraphicFramePr>
              <a:graphicFrameLocks noChangeAspect="1"/>
            </wp:cNvGraphicFramePr>
            <a:graphic>
              <a:graphicData uri="http://schemas.openxmlformats.org/drawingml/2006/picture">
                <pic:pic>
                  <pic:nvPicPr>
                    <pic:cNvPr id="0" name="DCD-Process-Sale.png"/>
                    <pic:cNvPicPr/>
                  </pic:nvPicPr>
                  <pic:blipFill>
                    <a:blip r:embed="rId13"/>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3: DCD Process Sale (baseline)</w:t>
      </w:r>
    </w:p>
    <w:p>
      <w:pPr>
        <w:spacing w:after="240"/>
      </w:pPr>
      <w:r>
        <w:rPr>
          <w:rFonts w:ascii="Calibri" w:hAnsi="Calibri" w:eastAsia="Calibri"/>
          <w:b w:val="0"/>
          <w:i w:val="0"/>
          <w:color w:val="5B6770"/>
          <w:sz w:val="20"/>
        </w:rPr>
        <w:t>Methods should match constructed names; rename here if code names differ.</w:t>
      </w:r>
    </w:p>
    <w:p>
      <w:pPr>
        <w:pStyle w:val="Heading1"/>
      </w:pPr>
      <w:r>
        <w:t>13. Final Architecture</w:t>
      </w:r>
    </w:p>
    <w:p>
      <w:pPr>
        <w:jc w:val="center"/>
      </w:pPr>
      <w:r>
        <w:drawing>
          <wp:inline xmlns:a="http://schemas.openxmlformats.org/drawingml/2006/main" xmlns:pic="http://schemas.openxmlformats.org/drawingml/2006/picture">
            <wp:extent cx="5688000" cy="3964716"/>
            <wp:docPr id="4" name="Picture 4"/>
            <wp:cNvGraphicFramePr>
              <a:graphicFrameLocks noChangeAspect="1"/>
            </wp:cNvGraphicFramePr>
            <a:graphic>
              <a:graphicData uri="http://schemas.openxmlformats.org/drawingml/2006/picture">
                <pic:pic>
                  <pic:nvPicPr>
                    <pic:cNvPr id="0" name="Layered-Architecture-PoC.png"/>
                    <pic:cNvPicPr/>
                  </pic:nvPicPr>
                  <pic:blipFill>
                    <a:blip r:embed="rId14"/>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4: Architecture to be confirmed in Transition</w:t>
      </w:r>
    </w:p>
    <w:p>
      <w:pPr>
        <w:spacing w:after="240"/>
      </w:pPr>
      <w:r>
        <w:rPr>
          <w:rFonts w:ascii="Calibri" w:hAnsi="Calibri" w:eastAsia="Calibri"/>
          <w:b w:val="0"/>
          <w:i w:val="0"/>
          <w:color w:val="5B6770"/>
          <w:sz w:val="20"/>
        </w:rPr>
        <w:t>A layer violation discovered in code is a defect, not a silent new architecture.</w:t>
      </w:r>
    </w:p>
    <w:p>
      <w:pPr>
        <w:pStyle w:val="Heading1"/>
      </w:pPr>
      <w:r>
        <w:t>14. Final Database Design</w:t>
      </w:r>
    </w:p>
    <w:p>
      <w:pPr>
        <w:jc w:val="center"/>
      </w:pPr>
      <w:r>
        <w:drawing>
          <wp:inline xmlns:a="http://schemas.openxmlformats.org/drawingml/2006/main" xmlns:pic="http://schemas.openxmlformats.org/drawingml/2006/picture">
            <wp:extent cx="5688000" cy="4427591"/>
            <wp:docPr id="5" name="Picture 5"/>
            <wp:cNvGraphicFramePr>
              <a:graphicFrameLocks noChangeAspect="1"/>
            </wp:cNvGraphicFramePr>
            <a:graphic>
              <a:graphicData uri="http://schemas.openxmlformats.org/drawingml/2006/picture">
                <pic:pic>
                  <pic:nvPicPr>
                    <pic:cNvPr id="0" name="ERD-Logical.png"/>
                    <pic:cNvPicPr/>
                  </pic:nvPicPr>
                  <pic:blipFill>
                    <a:blip r:embed="rId15"/>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5: Logical ERD to be confirmed against the constructed schema</w:t>
      </w:r>
    </w:p>
    <w:p>
      <w:pPr>
        <w:spacing w:after="240"/>
      </w:pPr>
      <w:r>
        <w:rPr>
          <w:rFonts w:ascii="Calibri" w:hAnsi="Calibri" w:eastAsia="Calibri"/>
          <w:b w:val="0"/>
          <w:i w:val="0"/>
          <w:color w:val="5B6770"/>
          <w:sz w:val="20"/>
        </w:rPr>
        <w:t>Drift between ERD and actual tables must be reconciled before the demo.</w:t>
      </w:r>
    </w:p>
    <w:p>
      <w:pPr>
        <w:pStyle w:val="Heading1"/>
      </w:pPr>
      <w:r>
        <w:t>15. User Manual</w:t>
      </w:r>
    </w:p>
    <w:p>
      <w:pPr>
        <w:spacing w:after="160"/>
      </w:pPr>
      <w:r>
        <w:rPr>
          <w:rFonts w:ascii="Calibri" w:hAnsi="Calibri" w:eastAsia="Calibri"/>
          <w:b w:val="0"/>
          <w:i w:val="0"/>
          <w:color w:val="1A2332"/>
          <w:sz w:val="22"/>
        </w:rPr>
        <w:t>The user manual is a separate Word document in Documentation/07-User-Manual/. It describes designed behaviour. Screenshots of a running product will replace prototypes after construction.</w:t>
      </w:r>
    </w:p>
    <w:p>
      <w:pPr>
        <w:pStyle w:val="Heading1"/>
      </w:pPr>
      <w:r>
        <w:t>16. Deployment Preparation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Workstation with runtime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create from approved schema (not from this docs pack’s forbidden SQL — write it in construction)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 / TRANSITION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Seed Administrator and one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Backup / restore rehearsal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script (SC-01, SC-02, SC-03, SC-06, SC-07)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Final Presentation</w:t>
            </w:r>
          </w:p>
        </w:tc>
      </w:tr>
    </w:tbl>
    <w:p/>
    <w:p>
      <w:pPr>
        <w:pStyle w:val="Heading1"/>
      </w:pPr>
      <w:r>
        <w:t>17. Transition Conclusion</w:t>
      </w:r>
    </w:p>
    <w:p>
      <w:pPr>
        <w:spacing w:after="160"/>
      </w:pPr>
      <w:r>
        <w:rPr>
          <w:rFonts w:ascii="Calibri" w:hAnsi="Calibri" w:eastAsia="Calibri"/>
          <w:b w:val="0"/>
          <w:i w:val="0"/>
          <w:color w:val="1A2332"/>
          <w:sz w:val="22"/>
        </w:rPr>
        <w:t>Transition is a measured phase. This report gives the measuring instruments. Filling them with invented numbers would score nothing honest under a UP marking guide.</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Transition &amp; Beta    |    Weeks 13–14  ·  15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