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Final Project Report</w:t>
      </w:r>
    </w:p>
    <w:p>
      <w:pPr>
        <w:jc w:val="center"/>
      </w:pPr>
      <w:r>
        <w:rPr>
          <w:rFonts w:ascii="Calibri" w:hAnsi="Calibri" w:eastAsia="Calibri"/>
          <w:b w:val="0"/>
          <w:i w:val="0"/>
          <w:color w:val="1A7A6D"/>
          <w:sz w:val="28"/>
        </w:rPr>
        <w:t>Pharmacy POS — Unified Process analysis, design, and planned construction</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Abstract</w:t>
      </w:r>
    </w:p>
    <w:p>
      <w:pPr>
        <w:spacing w:after="160"/>
      </w:pPr>
      <w:r>
        <w:rPr>
          <w:rFonts w:ascii="Calibri" w:hAnsi="Calibri" w:eastAsia="Calibri"/>
          <w:b w:val="0"/>
          <w:i w:val="0"/>
          <w:color w:val="1A2332"/>
          <w:sz w:val="22"/>
        </w:rPr>
        <w:t>This report presents the analysis, design, and implementation of a pharmacy point-of-sale system developed by Group 20 for CSC 4630 using the Unified Process. The system has exactly two user roles: Administrator and Pharmacist/Cashier. The Pharmacist performs the cashier function. Inception established vision, a 10% use-case focus on Process Sale, risks, and a 15-week map. Elaboration specified 30% then 100% of the use cases, system sequence diagrams, a conceptual domain model, layered architecture, GRASP assignments, UI prototypes, and a logical database. Construction delivered PharmaPoint (Pharmacy-POS/apoza/) with 21 passing automated tests. Transition covers beta testing, performance tuning, and deployment preparation.</w:t>
      </w:r>
    </w:p>
    <w:p>
      <w:pPr>
        <w:pStyle w:val="Heading1"/>
      </w:pPr>
      <w:r>
        <w:t>2. Introduction</w:t>
      </w:r>
    </w:p>
    <w:p>
      <w:pPr>
        <w:spacing w:after="160"/>
      </w:pPr>
      <w:r>
        <w:rPr>
          <w:rFonts w:ascii="Calibri" w:hAnsi="Calibri" w:eastAsia="Calibri"/>
          <w:b w:val="0"/>
          <w:i w:val="0"/>
          <w:color w:val="1A2332"/>
          <w:sz w:val="22"/>
        </w:rPr>
        <w:t>The marking guide is explicit: this is not a waterfall project. The report therefore is organised by UP phases and by the same identifiers (FR, UC, table names) used in every companion document. Readers who need depth should open the phase reports; this document is the coherent whole.</w:t>
      </w:r>
    </w:p>
    <w:p>
      <w:pPr>
        <w:pStyle w:val="Heading1"/>
      </w:pPr>
      <w:r>
        <w:t>3. Problem Statement</w:t>
      </w:r>
    </w:p>
    <w:p>
      <w:pPr>
        <w:spacing w:after="160"/>
      </w:pPr>
      <w:r>
        <w:rPr>
          <w:rFonts w:ascii="Calibri" w:hAnsi="Calibri" w:eastAsia="Calibri"/>
          <w:b w:val="0"/>
          <w:i w:val="0"/>
          <w:color w:val="1A2332"/>
          <w:sz w:val="22"/>
        </w:rPr>
        <w:t>Many small and medium pharmacies in Zambia still combine paper registers, memory, and generic retail tools that were not designed for medicines. That mix produces four recurring failures: expired packs can be sold; life-saving lines run out without a reliable warning; prices and receipts are inconsistent; and there is a weak audit trail when a regulator or owner asks who sold or adjusted a batch. A generic supermarket POS also misses pharmacy rules such as prescription-only items and batch expiry. The business therefore needs a counter system that treats sale, batch stock, and role-limited access as one design, without inventing extra staff roles.</w:t>
      </w:r>
    </w:p>
    <w:p>
      <w:pPr>
        <w:pStyle w:val="Heading1"/>
      </w:pPr>
      <w:r>
        <w:t>4. Business Case</w:t>
      </w:r>
    </w:p>
    <w:p>
      <w:pPr>
        <w:spacing w:after="160"/>
      </w:pPr>
      <w:r>
        <w:rPr>
          <w:rFonts w:ascii="Calibri" w:hAnsi="Calibri" w:eastAsia="Calibri"/>
          <w:b w:val="0"/>
          <w:i w:val="0"/>
          <w:color w:val="1A2332"/>
          <w:sz w:val="22"/>
        </w:rPr>
        <w:t>Operational value is accurate sales and stock. Strategic value is expiry control and a two-role audit trail. Financial value is reduced waste and faster counters. The project refuses a fake ROI figure. Out of scope work (NHIMA, e-commerce) is excluded so the case stays about a POS, not a health-insurance platform.</w:t>
      </w:r>
    </w:p>
    <w:p>
      <w:pPr>
        <w:pStyle w:val="Heading1"/>
      </w:pPr>
      <w:r>
        <w:t>5. Vision</w:t>
      </w:r>
    </w:p>
    <w:p>
      <w:pPr>
        <w:spacing w:after="160"/>
      </w:pPr>
      <w:r>
        <w:rPr>
          <w:rFonts w:ascii="Calibri" w:hAnsi="Calibri" w:eastAsia="Calibri"/>
          <w:b w:val="0"/>
          <w:i w:val="0"/>
          <w:color w:val="1A2332"/>
          <w:sz w:val="22"/>
        </w:rPr>
        <w:t>A pharmacy-specific point-of-sale system in which the Pharmacist runs the counter (search, sale, prescription capture, payment, receipt) and the Administrator runs the office (catalogue, stock, users, suppliers, reports). The system makes the dangerous path — selling expired or untracked medicine — hard, and the routine path — a correct paid sale — fast enough for a busy counter.</w:t>
      </w:r>
    </w:p>
    <w:p>
      <w:pPr>
        <w:pStyle w:val="Heading1"/>
      </w:pPr>
      <w:r>
        <w:t>6. Scope</w:t>
      </w:r>
    </w:p>
    <w:p>
      <w:pPr>
        <w:spacing w:after="160"/>
      </w:pPr>
      <w:r>
        <w:rPr>
          <w:rFonts w:ascii="Calibri" w:hAnsi="Calibri" w:eastAsia="Calibri"/>
          <w:b/>
          <w:i w:val="0"/>
          <w:color w:val="1A2332"/>
          <w:sz w:val="22"/>
        </w:rPr>
        <w:t>In scope:</w:t>
      </w:r>
    </w:p>
    <w:p>
      <w:pPr>
        <w:pStyle w:val="ListBullet"/>
      </w:pPr>
      <w:r>
        <w:rPr>
          <w:rFonts w:ascii="Calibri" w:hAnsi="Calibri" w:eastAsia="Calibri"/>
          <w:b w:val="0"/>
          <w:i w:val="0"/>
          <w:color w:val="1A2332"/>
          <w:sz w:val="22"/>
        </w:rPr>
        <w:t>Authentication and role-based authorisation for two roles only</w:t>
      </w:r>
    </w:p>
    <w:p>
      <w:pPr>
        <w:pStyle w:val="ListBullet"/>
      </w:pPr>
      <w:r>
        <w:rPr>
          <w:rFonts w:ascii="Calibri" w:hAnsi="Calibri" w:eastAsia="Calibri"/>
          <w:b w:val="0"/>
          <w:i w:val="0"/>
          <w:color w:val="1A2332"/>
          <w:sz w:val="22"/>
        </w:rPr>
        <w:t>Medicine catalogue maintenance</w:t>
      </w:r>
    </w:p>
    <w:p>
      <w:pPr>
        <w:pStyle w:val="ListBullet"/>
      </w:pPr>
      <w:r>
        <w:rPr>
          <w:rFonts w:ascii="Calibri" w:hAnsi="Calibri" w:eastAsia="Calibri"/>
          <w:b w:val="0"/>
          <w:i w:val="0"/>
          <w:color w:val="1A2332"/>
          <w:sz w:val="22"/>
        </w:rPr>
        <w:t>Batch-level inventory with expiry and quantity</w:t>
      </w:r>
    </w:p>
    <w:p>
      <w:pPr>
        <w:pStyle w:val="ListBullet"/>
      </w:pPr>
      <w:r>
        <w:rPr>
          <w:rFonts w:ascii="Calibri" w:hAnsi="Calibri" w:eastAsia="Calibri"/>
          <w:b w:val="0"/>
          <w:i w:val="0"/>
          <w:color w:val="1A2332"/>
          <w:sz w:val="22"/>
        </w:rPr>
        <w:t>Over-the-counter and prescription-linked counter sales</w:t>
      </w:r>
    </w:p>
    <w:p>
      <w:pPr>
        <w:pStyle w:val="ListBullet"/>
      </w:pPr>
      <w:r>
        <w:rPr>
          <w:rFonts w:ascii="Calibri" w:hAnsi="Calibri" w:eastAsia="Calibri"/>
          <w:b w:val="0"/>
          <w:i w:val="0"/>
          <w:color w:val="1A2332"/>
          <w:sz w:val="22"/>
        </w:rPr>
        <w:t>Payments recorded as cash, card, or mobile money</w:t>
      </w:r>
    </w:p>
    <w:p>
      <w:pPr>
        <w:pStyle w:val="ListBullet"/>
      </w:pPr>
      <w:r>
        <w:rPr>
          <w:rFonts w:ascii="Calibri" w:hAnsi="Calibri" w:eastAsia="Calibri"/>
          <w:b w:val="0"/>
          <w:i w:val="0"/>
          <w:color w:val="1A2332"/>
          <w:sz w:val="22"/>
        </w:rPr>
        <w:t>Receipt generation</w:t>
      </w:r>
    </w:p>
    <w:p>
      <w:pPr>
        <w:pStyle w:val="ListBullet"/>
      </w:pPr>
      <w:r>
        <w:rPr>
          <w:rFonts w:ascii="Calibri" w:hAnsi="Calibri" w:eastAsia="Calibri"/>
          <w:b w:val="0"/>
          <w:i w:val="0"/>
          <w:color w:val="1A2332"/>
          <w:sz w:val="22"/>
        </w:rPr>
        <w:t>Sale void with reason and stock restore</w:t>
      </w:r>
    </w:p>
    <w:p>
      <w:pPr>
        <w:pStyle w:val="ListBullet"/>
      </w:pPr>
      <w:r>
        <w:rPr>
          <w:rFonts w:ascii="Calibri" w:hAnsi="Calibri" w:eastAsia="Calibri"/>
          <w:b w:val="0"/>
          <w:i w:val="0"/>
          <w:color w:val="1A2332"/>
          <w:sz w:val="22"/>
        </w:rPr>
        <w:t>Customer record when a named patient is required</w:t>
      </w:r>
    </w:p>
    <w:p>
      <w:pPr>
        <w:pStyle w:val="ListBullet"/>
      </w:pPr>
      <w:r>
        <w:rPr>
          <w:rFonts w:ascii="Calibri" w:hAnsi="Calibri" w:eastAsia="Calibri"/>
          <w:b w:val="0"/>
          <w:i w:val="0"/>
          <w:color w:val="1A2332"/>
          <w:sz w:val="22"/>
        </w:rPr>
        <w:t>Supplier record and stock receiving</w:t>
      </w:r>
    </w:p>
    <w:p>
      <w:pPr>
        <w:pStyle w:val="ListBullet"/>
      </w:pPr>
      <w:r>
        <w:rPr>
          <w:rFonts w:ascii="Calibri" w:hAnsi="Calibri" w:eastAsia="Calibri"/>
          <w:b w:val="0"/>
          <w:i w:val="0"/>
          <w:color w:val="1A2332"/>
          <w:sz w:val="22"/>
        </w:rPr>
        <w:t>Low-stock and near-expiry visibility</w:t>
      </w:r>
    </w:p>
    <w:p>
      <w:pPr>
        <w:pStyle w:val="ListBullet"/>
      </w:pPr>
      <w:r>
        <w:rPr>
          <w:rFonts w:ascii="Calibri" w:hAnsi="Calibri" w:eastAsia="Calibri"/>
          <w:b w:val="0"/>
          <w:i w:val="0"/>
          <w:color w:val="1A2332"/>
          <w:sz w:val="22"/>
        </w:rPr>
        <w:t>Sales and inventory reports</w:t>
      </w:r>
    </w:p>
    <w:p>
      <w:pPr>
        <w:pStyle w:val="ListBullet"/>
      </w:pPr>
      <w:r>
        <w:rPr>
          <w:rFonts w:ascii="Calibri" w:hAnsi="Calibri" w:eastAsia="Calibri"/>
          <w:b w:val="0"/>
          <w:i w:val="0"/>
          <w:color w:val="1A2332"/>
          <w:sz w:val="22"/>
        </w:rPr>
        <w:t>Pharmacy settings used on receipts and alerts</w:t>
      </w:r>
    </w:p>
    <w:p>
      <w:pPr>
        <w:pStyle w:val="ListBullet"/>
      </w:pPr>
      <w:r>
        <w:rPr>
          <w:rFonts w:ascii="Calibri" w:hAnsi="Calibri" w:eastAsia="Calibri"/>
          <w:b w:val="0"/>
          <w:i w:val="0"/>
          <w:color w:val="1A2332"/>
          <w:sz w:val="22"/>
        </w:rPr>
        <w:t>Audit of sensitive actions</w:t>
      </w:r>
    </w:p>
    <w:p>
      <w:pPr>
        <w:spacing w:after="160"/>
      </w:pPr>
      <w:r>
        <w:rPr>
          <w:rFonts w:ascii="Calibri" w:hAnsi="Calibri" w:eastAsia="Calibri"/>
          <w:b/>
          <w:i w:val="0"/>
          <w:color w:val="1A2332"/>
          <w:sz w:val="22"/>
        </w:rPr>
        <w:t>Out of scope:</w:t>
      </w:r>
    </w:p>
    <w:p>
      <w:pPr>
        <w:pStyle w:val="ListBullet"/>
      </w:pPr>
      <w:r>
        <w:rPr>
          <w:rFonts w:ascii="Calibri" w:hAnsi="Calibri" w:eastAsia="Calibri"/>
          <w:b w:val="0"/>
          <w:i w:val="0"/>
          <w:color w:val="1A2332"/>
          <w:sz w:val="22"/>
        </w:rPr>
        <w:t>A separate Cashier, Manager, or Inventory Clerk user role</w:t>
      </w:r>
    </w:p>
    <w:p>
      <w:pPr>
        <w:pStyle w:val="ListBullet"/>
      </w:pPr>
      <w:r>
        <w:rPr>
          <w:rFonts w:ascii="Calibri" w:hAnsi="Calibri" w:eastAsia="Calibri"/>
          <w:b w:val="0"/>
          <w:i w:val="0"/>
          <w:color w:val="1A2332"/>
          <w:sz w:val="22"/>
        </w:rPr>
        <w:t>Online / e-commerce ordering</w:t>
      </w:r>
    </w:p>
    <w:p>
      <w:pPr>
        <w:pStyle w:val="ListBullet"/>
      </w:pPr>
      <w:r>
        <w:rPr>
          <w:rFonts w:ascii="Calibri" w:hAnsi="Calibri" w:eastAsia="Calibri"/>
          <w:b w:val="0"/>
          <w:i w:val="0"/>
          <w:color w:val="1A2332"/>
          <w:sz w:val="22"/>
        </w:rPr>
        <w:t>NHIMA or other insurance claim submission</w:t>
      </w:r>
    </w:p>
    <w:p>
      <w:pPr>
        <w:pStyle w:val="ListBullet"/>
      </w:pPr>
      <w:r>
        <w:rPr>
          <w:rFonts w:ascii="Calibri" w:hAnsi="Calibri" w:eastAsia="Calibri"/>
          <w:b w:val="0"/>
          <w:i w:val="0"/>
          <w:color w:val="1A2332"/>
          <w:sz w:val="22"/>
        </w:rPr>
        <w:t>Live card or mobile-money gateway settlement (manual confirmation only)</w:t>
      </w:r>
    </w:p>
    <w:p>
      <w:pPr>
        <w:pStyle w:val="ListBullet"/>
      </w:pPr>
      <w:r>
        <w:rPr>
          <w:rFonts w:ascii="Calibri" w:hAnsi="Calibri" w:eastAsia="Calibri"/>
          <w:b w:val="0"/>
          <w:i w:val="0"/>
          <w:color w:val="1A2332"/>
          <w:sz w:val="22"/>
        </w:rPr>
        <w:t>National electronic prescription network</w:t>
      </w:r>
    </w:p>
    <w:p>
      <w:pPr>
        <w:pStyle w:val="ListBullet"/>
      </w:pPr>
      <w:r>
        <w:rPr>
          <w:rFonts w:ascii="Calibri" w:hAnsi="Calibri" w:eastAsia="Calibri"/>
          <w:b w:val="0"/>
          <w:i w:val="0"/>
          <w:color w:val="1A2332"/>
          <w:sz w:val="22"/>
        </w:rPr>
        <w:t>Clinical diagnosis or drug-interaction decision support</w:t>
      </w:r>
    </w:p>
    <w:p>
      <w:pPr>
        <w:pStyle w:val="ListBullet"/>
      </w:pPr>
      <w:r>
        <w:rPr>
          <w:rFonts w:ascii="Calibri" w:hAnsi="Calibri" w:eastAsia="Calibri"/>
          <w:b w:val="0"/>
          <w:i w:val="0"/>
          <w:color w:val="1A2332"/>
          <w:sz w:val="22"/>
        </w:rPr>
        <w:t>Multi-branch warehousing and inter-store transfers</w:t>
      </w:r>
    </w:p>
    <w:p>
      <w:pPr>
        <w:pStyle w:val="ListBullet"/>
      </w:pPr>
      <w:r>
        <w:rPr>
          <w:rFonts w:ascii="Calibri" w:hAnsi="Calibri" w:eastAsia="Calibri"/>
          <w:b w:val="0"/>
          <w:i w:val="0"/>
          <w:color w:val="1A2332"/>
          <w:sz w:val="22"/>
        </w:rPr>
        <w:t>Full accounting / general ledger</w:t>
      </w:r>
    </w:p>
    <w:p>
      <w:pPr>
        <w:pStyle w:val="ListBullet"/>
      </w:pPr>
      <w:r>
        <w:rPr>
          <w:rFonts w:ascii="Calibri" w:hAnsi="Calibri" w:eastAsia="Calibri"/>
          <w:b w:val="0"/>
          <w:i w:val="0"/>
          <w:color w:val="1A2332"/>
          <w:sz w:val="22"/>
        </w:rPr>
        <w:t>Supplier self-service portal</w:t>
      </w:r>
    </w:p>
    <w:p>
      <w:pPr>
        <w:pStyle w:val="ListBullet"/>
      </w:pPr>
      <w:r>
        <w:rPr>
          <w:rFonts w:ascii="Calibri" w:hAnsi="Calibri" w:eastAsia="Calibri"/>
          <w:b w:val="0"/>
          <w:i w:val="0"/>
          <w:color w:val="1A2332"/>
          <w:sz w:val="22"/>
        </w:rPr>
        <w:t>Patient refill reminder campaigns</w:t>
      </w:r>
    </w:p>
    <w:p>
      <w:pPr>
        <w:pStyle w:val="Heading1"/>
      </w:pPr>
      <w:r>
        <w:t>7. Objectives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Prevent sale of expired or insufficiently stocked medicine.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counter sales accurately with a printed or viewable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inventory quantities consistent with sales and stock movements.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 prescription-linked dispensing without creating extra user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Give the Administrator reliable catalogue, stock, user, and report control.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Leave an audit trail for sales, voids, stock adjustments, and user changes.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Fit a 15-week UP schedule with architecture proven before construction.</w:t>
            </w:r>
          </w:p>
        </w:tc>
      </w:tr>
    </w:tbl>
    <w:p/>
    <w:p>
      <w:pPr>
        <w:pStyle w:val="Heading1"/>
      </w:pPr>
      <w:r>
        <w:t>8.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Functional requirement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authenticate a user with a unique username and a secret password and start a role-specific session.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authorise each operation according to exactly one of two roles: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start a sale, enter one or more medicine lines, and complete the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search medicines by name, generic name, or product code and see on-hand quantity.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refuse a sale line that would sell an expired batch or a quantity greater than available sellable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line requires a prescription, the Pharmacist/Cashier shall record the prescription reference and essential details before the line is accepted.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record payment as cash, card, or mobile money, including amount tendered.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 successful payment the system shall complete the sale, reduce stock, and produce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view medicines in the catalogue (name, generic name, strength, form, category, prescription flag, selling price, reorder level).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receive stock against a supplier, recording batch number, expiry date, quantity, and cost.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adjust stock for damage, expiry removal, recount, or recall, with a mandatory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present low-stock and near-expiry information to the Administrator.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reset access for users assigned to one of the two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maintain supplier records used when receiving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view sales and inventory reports for selected date ranges.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look up or record a customer when a sale needs a named patient (typical for prescriptions).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void an in-progress or completed sale only with a reason; the system shall restore stock for completed voids and write an audit entry.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configure pharmacy name, address, receipt footer, and near-expiry warning days.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record an audit entry for login failures, sales, voids, stock receipts, stock adjustments, and user administration.</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Quality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Non-functional requirement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shall be stored only as a salted hash. Sessions shall expire after inactivity. Role checks shall be enforced on every privileged operation.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Entering a sale line and refreshing the running total should complete within about three seconds on the intended counter workstation under typical catalogue size. The figure matches busy counter expectations described in the group inception briefing, not a laboratory benchmark.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trained Pharmacist/Cashier shall complete a routine three-line OTC sale from one primary sales screen without opening an administration page.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Reliability /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and its stock movements shall succeed or fail together. Partial stock reduction without a sale record is not acceptable.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Availability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is intended for normal pharmacy opening hours. After an unexpected stop, committed sales and stock figures shall remain recoverable from the database.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NFR-06</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Maintainability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application, domain, and persistence shall remain separable so that a UI change does not rewrite pricing or stock rules.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Scalability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first release is one pharmacy. Payment and persistence are isolated so a later gateway or second counter is not blocked by a hard-wired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actions shall be attributable to a user account and a timestamp.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Privacy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details shall be visible only to authenticated staff and shall not appear unnecessarily on publicly displayed screens.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NFR-10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keys, required fields, and non-negative quantities shall protect stock and money figures independently of the user interface.</w:t>
            </w:r>
          </w:p>
        </w:tc>
      </w:tr>
    </w:tbl>
    <w:p/>
    <w:p>
      <w:pPr>
        <w:pStyle w:val="Heading1"/>
      </w:pPr>
      <w:r>
        <w:t>9. Stakeholders</w:t>
      </w:r>
    </w:p>
    <w:p>
      <w:pPr>
        <w:spacing w:after="160"/>
      </w:pPr>
      <w:r>
        <w:rPr>
          <w:rFonts w:ascii="Calibri" w:hAnsi="Calibri" w:eastAsia="Calibri"/>
          <w:b w:val="0"/>
          <w:i w:val="0"/>
          <w:color w:val="1A2332"/>
          <w:sz w:val="22"/>
        </w:rPr>
        <w:t>See the Inception Report for the full stakeholder table. The owner is a person, not a third software role.</w:t>
      </w:r>
    </w:p>
    <w:p>
      <w:pPr>
        <w:pStyle w:val="Heading1"/>
      </w:pPr>
      <w:r>
        <w:t>10. Actors</w:t>
      </w:r>
    </w:p>
    <w:p>
      <w:pPr>
        <w:spacing w:after="160"/>
      </w:pPr>
      <w:r>
        <w:rPr>
          <w:rFonts w:ascii="Calibri" w:hAnsi="Calibri" w:eastAsia="Calibri"/>
          <w:b w:val="0"/>
          <w:i w:val="0"/>
          <w:color w:val="1A2332"/>
          <w:sz w:val="22"/>
        </w:rPr>
        <w:t>System users: Administrator; Pharmacist/Cashier. External: Customer; Supplier. The Pharmacist performs the cashier function; there is no separate Cashier role.</w:t>
      </w:r>
    </w:p>
    <w:p>
      <w:pPr>
        <w:pStyle w:val="Heading1"/>
      </w:pPr>
      <w:r>
        <w:t>11. Use-Case Model</w:t>
      </w:r>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Complete use-case model</w:t>
      </w:r>
    </w:p>
    <w:p>
      <w:pPr>
        <w:spacing w:after="240"/>
      </w:pPr>
      <w:r>
        <w:rPr>
          <w:rFonts w:ascii="Calibri" w:hAnsi="Calibri" w:eastAsia="Calibri"/>
          <w:b w:val="0"/>
          <w:i w:val="0"/>
          <w:color w:val="5B6770"/>
          <w:sz w:val="20"/>
        </w:rPr>
        <w:t>Evolution: Figure in Inception showed only UC-02; Elaboration 1 showed three; this is the full set.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bl>
    <w:p/>
    <w:p>
      <w:pPr>
        <w:pStyle w:val="Heading1"/>
      </w:pPr>
      <w:r>
        <w:t>12. Use-Case Descriptions</w:t>
      </w:r>
    </w:p>
    <w:p>
      <w:pPr>
        <w:spacing w:after="160"/>
      </w:pPr>
      <w:r>
        <w:rPr>
          <w:rFonts w:ascii="Calibri" w:hAnsi="Calibri" w:eastAsia="Calibri"/>
          <w:b w:val="0"/>
          <w:i w:val="0"/>
          <w:color w:val="1A2332"/>
          <w:sz w:val="22"/>
        </w:rPr>
        <w:t>Fully dressed texts live in the Complete System Design Document. The core goal is restated here.</w:t>
      </w:r>
    </w:p>
    <w:p>
      <w:pPr>
        <w:pStyle w:val="Heading3"/>
      </w:pPr>
      <w:r>
        <w:t>UC-02  Process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is authenticated. At least one sellable medicine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Payment, stock reduction, and Receipt exist. Prescription details exist when required.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completion and stock reduction are one business transaction. Receipt shows pharmacy name, date, lines, total, payment method, and cashier identity (the Pharmacist user).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 code may be typed; barcode scan is a technology variation of enterItem, not a separate use case (Larman: name events at the level of intent).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daily work of the counter — typically many times per hour.</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 the sale quickly and correctly.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Pays the correct amount and receives the intended medicines plus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stay consistent; expired stock is not sold.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items are not sold without recorded prescription details.</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chooses to start a new sale (system event: makeNewSale).</w:t>
      </w:r>
    </w:p>
    <w:p>
      <w:pPr>
        <w:spacing w:after="160"/>
      </w:pPr>
      <w:r>
        <w:rPr>
          <w:rFonts w:ascii="Calibri" w:hAnsi="Calibri" w:eastAsia="Calibri"/>
          <w:b w:val="0"/>
          <w:i w:val="0"/>
          <w:color w:val="1A2332"/>
          <w:sz w:val="22"/>
        </w:rPr>
        <w:t>2.  The system creates a Sale in progress and shows an empty line list and a zero total.</w:t>
      </w:r>
    </w:p>
    <w:p>
      <w:pPr>
        <w:spacing w:after="160"/>
      </w:pPr>
      <w:r>
        <w:rPr>
          <w:rFonts w:ascii="Calibri" w:hAnsi="Calibri" w:eastAsia="Calibri"/>
          <w:b w:val="0"/>
          <w:i w:val="0"/>
          <w:color w:val="1A2332"/>
          <w:sz w:val="22"/>
        </w:rPr>
        <w:t>3.  The Pharmacist/Cashier identifies a medicine by search or product code and enters a quantity (system event: enterItem).</w:t>
      </w:r>
    </w:p>
    <w:p>
      <w:pPr>
        <w:spacing w:after="160"/>
      </w:pPr>
      <w:r>
        <w:rPr>
          <w:rFonts w:ascii="Calibri" w:hAnsi="Calibri" w:eastAsia="Calibri"/>
          <w:b w:val="0"/>
          <w:i w:val="0"/>
          <w:color w:val="1A2332"/>
          <w:sz w:val="22"/>
        </w:rPr>
        <w:t>4.  The system locates a sellable StockBatch (unexpired, sufficient quantity), adds a SalesLineItem, and returns description, unit price, line total, and running total.</w:t>
      </w:r>
    </w:p>
    <w:p>
      <w:pPr>
        <w:spacing w:after="160"/>
      </w:pPr>
      <w:r>
        <w:rPr>
          <w:rFonts w:ascii="Calibri" w:hAnsi="Calibri" w:eastAsia="Calibri"/>
          <w:b w:val="0"/>
          <w:i w:val="0"/>
          <w:color w:val="1A2332"/>
          <w:sz w:val="22"/>
        </w:rPr>
        <w:t>5.  The Pharmacist/Cashier repeats step 3–4 for each additional medicine.</w:t>
      </w:r>
    </w:p>
    <w:p>
      <w:pPr>
        <w:spacing w:after="160"/>
      </w:pPr>
      <w:r>
        <w:rPr>
          <w:rFonts w:ascii="Calibri" w:hAnsi="Calibri" w:eastAsia="Calibri"/>
          <w:b w:val="0"/>
          <w:i w:val="0"/>
          <w:color w:val="1A2332"/>
          <w:sz w:val="22"/>
        </w:rPr>
        <w:t>6.  If any accepted line is prescription-only, the Pharmacist/Cashier records the customer (or uses an existing customer) and the prescription reference (system event: attachPrescription).</w:t>
      </w:r>
    </w:p>
    <w:p>
      <w:pPr>
        <w:spacing w:after="160"/>
      </w:pPr>
      <w:r>
        <w:rPr>
          <w:rFonts w:ascii="Calibri" w:hAnsi="Calibri" w:eastAsia="Calibri"/>
          <w:b w:val="0"/>
          <w:i w:val="0"/>
          <w:color w:val="1A2332"/>
          <w:sz w:val="22"/>
        </w:rPr>
        <w:t>7.  The Pharmacist/Cashier indicates the sale content is complete (system event: endSale).</w:t>
      </w:r>
    </w:p>
    <w:p>
      <w:pPr>
        <w:spacing w:after="160"/>
      </w:pPr>
      <w:r>
        <w:rPr>
          <w:rFonts w:ascii="Calibri" w:hAnsi="Calibri" w:eastAsia="Calibri"/>
          <w:b w:val="0"/>
          <w:i w:val="0"/>
          <w:color w:val="1A2332"/>
          <w:sz w:val="22"/>
        </w:rPr>
        <w:t>8.  The system calculates tax if configured and presents the total due.</w:t>
      </w:r>
    </w:p>
    <w:p>
      <w:pPr>
        <w:spacing w:after="160"/>
      </w:pPr>
      <w:r>
        <w:rPr>
          <w:rFonts w:ascii="Calibri" w:hAnsi="Calibri" w:eastAsia="Calibri"/>
          <w:b w:val="0"/>
          <w:i w:val="0"/>
          <w:color w:val="1A2332"/>
          <w:sz w:val="22"/>
        </w:rPr>
        <w:t>9.  The Pharmacist/Cashier records the payment method and amount tendered (system event: makePayment).</w:t>
      </w:r>
    </w:p>
    <w:p>
      <w:pPr>
        <w:spacing w:after="160"/>
      </w:pPr>
      <w:r>
        <w:rPr>
          <w:rFonts w:ascii="Calibri" w:hAnsi="Calibri" w:eastAsia="Calibri"/>
          <w:b w:val="0"/>
          <w:i w:val="0"/>
          <w:color w:val="1A2332"/>
          <w:sz w:val="22"/>
        </w:rPr>
        <w:t>10.  The system records Payment, marks the Sale complete, reduces batch quantities, writes audit data, and presents the Receipt.</w:t>
      </w:r>
    </w:p>
    <w:p>
      <w:pPr>
        <w:spacing w:after="160"/>
      </w:pPr>
      <w:r>
        <w:rPr>
          <w:rFonts w:ascii="Calibri" w:hAnsi="Calibri" w:eastAsia="Calibri"/>
          <w:b w:val="0"/>
          <w:i w:val="0"/>
          <w:color w:val="1A2332"/>
          <w:sz w:val="22"/>
        </w:rPr>
        <w:t>11.  The Pharmacist/Cashier gives medicines and the receipt to the Customer.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Medicine is not found: the system says so; the sale remains in progress.</w:t>
      </w:r>
    </w:p>
    <w:p>
      <w:pPr>
        <w:pStyle w:val="ListBullet"/>
      </w:pPr>
      <w:r>
        <w:rPr>
          <w:rFonts w:ascii="Calibri" w:hAnsi="Calibri" w:eastAsia="Calibri"/>
          <w:b w:val="0"/>
          <w:i w:val="0"/>
          <w:color w:val="1A2332"/>
          <w:sz w:val="22"/>
        </w:rPr>
        <w:t>3b. Only expired batches exist: the system refuses the line (BO-01 / FR-05).</w:t>
      </w:r>
    </w:p>
    <w:p>
      <w:pPr>
        <w:pStyle w:val="ListBullet"/>
      </w:pPr>
      <w:r>
        <w:rPr>
          <w:rFonts w:ascii="Calibri" w:hAnsi="Calibri" w:eastAsia="Calibri"/>
          <w:b w:val="0"/>
          <w:i w:val="0"/>
          <w:color w:val="1A2332"/>
          <w:sz w:val="22"/>
        </w:rPr>
        <w:t>3c. Requested quantity exceeds sellable stock: the system refuses the line and shows the available quantity.</w:t>
      </w:r>
    </w:p>
    <w:p>
      <w:pPr>
        <w:pStyle w:val="ListBullet"/>
      </w:pPr>
      <w:r>
        <w:rPr>
          <w:rFonts w:ascii="Calibri" w:hAnsi="Calibri" w:eastAsia="Calibri"/>
          <w:b w:val="0"/>
          <w:i w:val="0"/>
          <w:color w:val="1A2332"/>
          <w:sz w:val="22"/>
        </w:rPr>
        <w:t>3d. Pharmacist/Cashier removes a line before payment: the system deletes that SalesLineItem and updates the total.</w:t>
      </w:r>
    </w:p>
    <w:p>
      <w:pPr>
        <w:pStyle w:val="ListBullet"/>
      </w:pPr>
      <w:r>
        <w:rPr>
          <w:rFonts w:ascii="Calibri" w:hAnsi="Calibri" w:eastAsia="Calibri"/>
          <w:b w:val="0"/>
          <w:i w:val="0"/>
          <w:color w:val="1A2332"/>
          <w:sz w:val="22"/>
        </w:rPr>
        <w:t>6a. Prescription-only line without prescription details: the system refuses to end the sale until details are recorded.</w:t>
      </w:r>
    </w:p>
    <w:p>
      <w:pPr>
        <w:pStyle w:val="ListBullet"/>
      </w:pPr>
      <w:r>
        <w:rPr>
          <w:rFonts w:ascii="Calibri" w:hAnsi="Calibri" w:eastAsia="Calibri"/>
          <w:b w:val="0"/>
          <w:i w:val="0"/>
          <w:color w:val="1A2332"/>
          <w:sz w:val="22"/>
        </w:rPr>
        <w:t>6b. Customer is new: include UC-08 Record Customer, then continue.</w:t>
      </w:r>
    </w:p>
    <w:p>
      <w:pPr>
        <w:pStyle w:val="ListBullet"/>
      </w:pPr>
      <w:r>
        <w:rPr>
          <w:rFonts w:ascii="Calibri" w:hAnsi="Calibri" w:eastAsia="Calibri"/>
          <w:b w:val="0"/>
          <w:i w:val="0"/>
          <w:color w:val="1A2332"/>
          <w:sz w:val="22"/>
        </w:rPr>
        <w:t>8a. Pharmacist/Cashier cancels the in-progress sale: no payment, no stock change (related to UC-09).</w:t>
      </w:r>
    </w:p>
    <w:p>
      <w:pPr>
        <w:pStyle w:val="ListBullet"/>
      </w:pPr>
      <w:r>
        <w:rPr>
          <w:rFonts w:ascii="Calibri" w:hAnsi="Calibri" w:eastAsia="Calibri"/>
          <w:b w:val="0"/>
          <w:i w:val="0"/>
          <w:color w:val="1A2332"/>
          <w:sz w:val="22"/>
        </w:rPr>
        <w:t>9a. Amount tendered is less than total for a cash sale: the system refuses completion and shows the shortfall.</w:t>
      </w:r>
    </w:p>
    <w:p>
      <w:pPr>
        <w:pStyle w:val="ListBullet"/>
      </w:pPr>
      <w:r>
        <w:rPr>
          <w:rFonts w:ascii="Calibri" w:hAnsi="Calibri" w:eastAsia="Calibri"/>
          <w:b w:val="0"/>
          <w:i w:val="0"/>
          <w:color w:val="1A2332"/>
          <w:sz w:val="22"/>
        </w:rPr>
        <w:t>9b. Card or mobile money: the Pharmacist/Cashier confirms that payment was received externally; the system records method and reference. Live gateway settlement is out of scope (A-04).</w:t>
      </w:r>
    </w:p>
    <w:p>
      <w:pPr>
        <w:pStyle w:val="ListBullet"/>
      </w:pPr>
      <w:r>
        <w:rPr>
          <w:rFonts w:ascii="Calibri" w:hAnsi="Calibri" w:eastAsia="Calibri"/>
          <w:b w:val="0"/>
          <w:i w:val="0"/>
          <w:color w:val="1A2332"/>
          <w:sz w:val="22"/>
        </w:rPr>
        <w:t>10a. Persistence fails after payment intent: the system does not report success; no partial stock reduction remains (NFR-04).</w:t>
      </w:r>
    </w:p>
    <w:p>
      <w:pPr>
        <w:pStyle w:val="Heading1"/>
      </w:pPr>
      <w:r>
        <w:t>13. Domain Model</w:t>
      </w:r>
    </w:p>
    <w:p>
      <w:pPr>
        <w:jc w:val="center"/>
      </w:pPr>
      <w:r>
        <w:drawing>
          <wp:inline xmlns:a="http://schemas.openxmlformats.org/drawingml/2006/main" xmlns:pic="http://schemas.openxmlformats.org/drawingml/2006/picture">
            <wp:extent cx="5688000" cy="4144953"/>
            <wp:docPr id="2" name="Picture 2"/>
            <wp:cNvGraphicFramePr>
              <a:graphicFrameLocks noChangeAspect="1"/>
            </wp:cNvGraphicFramePr>
            <a:graphic>
              <a:graphicData uri="http://schemas.openxmlformats.org/drawingml/2006/picture">
                <pic:pic>
                  <pic:nvPicPr>
                    <pic:cNvPr id="0" name="Domain-Model.png"/>
                    <pic:cNvPicPr/>
                  </pic:nvPicPr>
                  <pic:blipFill>
                    <a:blip r:embed="rId12"/>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2: Domain model</w:t>
      </w:r>
    </w:p>
    <w:p>
      <w:pPr>
        <w:spacing w:after="240"/>
      </w:pPr>
      <w:r>
        <w:rPr>
          <w:rFonts w:ascii="Calibri" w:hAnsi="Calibri" w:eastAsia="Calibri"/>
          <w:b w:val="0"/>
          <w:i w:val="0"/>
          <w:color w:val="5B6770"/>
          <w:sz w:val="20"/>
        </w:rPr>
        <w:t>No methods. Register from NextGen POS is intentionally absent.</w:t>
      </w:r>
    </w:p>
    <w:p>
      <w:pPr>
        <w:pStyle w:val="Heading1"/>
      </w:pPr>
      <w:r>
        <w:t>14. System Sequence Diagrams</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2-Process-Sal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Process Sale</w:t>
      </w:r>
    </w:p>
    <w:p>
      <w:pPr>
        <w:spacing w:after="240"/>
      </w:pPr>
      <w:r>
        <w:rPr>
          <w:rFonts w:ascii="Calibri" w:hAnsi="Calibri" w:eastAsia="Calibri"/>
          <w:b w:val="0"/>
          <w:i w:val="0"/>
          <w:color w:val="5B6770"/>
          <w:sz w:val="20"/>
        </w:rPr>
        <w:t>Black-box system events at the level of intent.</w:t>
      </w:r>
    </w:p>
    <w:p>
      <w:pPr>
        <w:pStyle w:val="Heading1"/>
      </w:pPr>
      <w:r>
        <w:t>15. Architecture</w:t>
      </w:r>
    </w:p>
    <w:p>
      <w:pPr>
        <w:jc w:val="center"/>
      </w:pPr>
      <w:r>
        <w:drawing>
          <wp:inline xmlns:a="http://schemas.openxmlformats.org/drawingml/2006/main" xmlns:pic="http://schemas.openxmlformats.org/drawingml/2006/picture">
            <wp:extent cx="5688000" cy="3964716"/>
            <wp:docPr id="4" name="Picture 4"/>
            <wp:cNvGraphicFramePr>
              <a:graphicFrameLocks noChangeAspect="1"/>
            </wp:cNvGraphicFramePr>
            <a:graphic>
              <a:graphicData uri="http://schemas.openxmlformats.org/drawingml/2006/picture">
                <pic:pic>
                  <pic:nvPicPr>
                    <pic:cNvPr id="0" name="Layered-Architecture-PoC.png"/>
                    <pic:cNvPicPr/>
                  </pic:nvPicPr>
                  <pic:blipFill>
                    <a:blip r:embed="rId14"/>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4: Layered architecture</w:t>
      </w:r>
    </w:p>
    <w:p>
      <w:pPr>
        <w:spacing w:after="240"/>
      </w:pPr>
      <w:r>
        <w:rPr>
          <w:rFonts w:ascii="Calibri" w:hAnsi="Calibri" w:eastAsia="Calibri"/>
          <w:b w:val="0"/>
          <w:i w:val="0"/>
          <w:color w:val="5B6770"/>
          <w:sz w:val="20"/>
        </w:rPr>
        <w:t>Proof-of-concept from Elaboration 1, refined in Iteration 2.</w:t>
      </w:r>
    </w:p>
    <w:p>
      <w:pPr>
        <w:pStyle w:val="Heading1"/>
      </w:pPr>
      <w:r>
        <w:t>16. Design Class Diagrams</w:t>
      </w:r>
    </w:p>
    <w:p>
      <w:pPr>
        <w:jc w:val="center"/>
      </w:pPr>
      <w:r>
        <w:drawing>
          <wp:inline xmlns:a="http://schemas.openxmlformats.org/drawingml/2006/main" xmlns:pic="http://schemas.openxmlformats.org/drawingml/2006/picture">
            <wp:extent cx="5688000" cy="3899544"/>
            <wp:docPr id="5" name="Picture 5"/>
            <wp:cNvGraphicFramePr>
              <a:graphicFrameLocks noChangeAspect="1"/>
            </wp:cNvGraphicFramePr>
            <a:graphic>
              <a:graphicData uri="http://schemas.openxmlformats.org/drawingml/2006/picture">
                <pic:pic>
                  <pic:nvPicPr>
                    <pic:cNvPr id="0" name="DCD-Process-Sale.png"/>
                    <pic:cNvPicPr/>
                  </pic:nvPicPr>
                  <pic:blipFill>
                    <a:blip r:embed="rId15"/>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5: Design classes for Process Sale</w:t>
      </w:r>
    </w:p>
    <w:p>
      <w:pPr>
        <w:spacing w:after="240"/>
      </w:pPr>
      <w:r>
        <w:rPr>
          <w:rFonts w:ascii="Calibri" w:hAnsi="Calibri" w:eastAsia="Calibri"/>
          <w:b w:val="0"/>
          <w:i w:val="0"/>
          <w:color w:val="5B6770"/>
          <w:sz w:val="20"/>
        </w:rPr>
        <w:t>Derived from events and GRASP.</w:t>
      </w:r>
    </w:p>
    <w:p>
      <w:pPr>
        <w:pStyle w:val="Heading1"/>
      </w:pPr>
      <w:r>
        <w:t>17. GRASP</w:t>
      </w:r>
    </w:p>
    <w:p>
      <w:pPr>
        <w:jc w:val="center"/>
      </w:pPr>
      <w:r>
        <w:drawing>
          <wp:inline xmlns:a="http://schemas.openxmlformats.org/drawingml/2006/main" xmlns:pic="http://schemas.openxmlformats.org/drawingml/2006/picture">
            <wp:extent cx="5688000" cy="3679630"/>
            <wp:docPr id="6" name="Picture 6"/>
            <wp:cNvGraphicFramePr>
              <a:graphicFrameLocks noChangeAspect="1"/>
            </wp:cNvGraphicFramePr>
            <a:graphic>
              <a:graphicData uri="http://schemas.openxmlformats.org/drawingml/2006/picture">
                <pic:pic>
                  <pic:nvPicPr>
                    <pic:cNvPr id="0" name="GRASP-Assignments.png"/>
                    <pic:cNvPicPr/>
                  </pic:nvPicPr>
                  <pic:blipFill>
                    <a:blip r:embed="rId16"/>
                    <a:stretch>
                      <a:fillRect/>
                    </a:stretch>
                  </pic:blipFill>
                  <pic:spPr>
                    <a:xfrm>
                      <a:off x="0" y="0"/>
                      <a:ext cx="5688000" cy="3679630"/>
                    </a:xfrm>
                    <a:prstGeom prst="rect"/>
                  </pic:spPr>
                </pic:pic>
              </a:graphicData>
            </a:graphic>
          </wp:inline>
        </w:drawing>
      </w:r>
    </w:p>
    <w:p>
      <w:pPr>
        <w:spacing w:after="80"/>
      </w:pPr>
      <w:r>
        <w:rPr>
          <w:rFonts w:ascii="Calibri" w:hAnsi="Calibri" w:eastAsia="Calibri"/>
          <w:b w:val="0"/>
          <w:i/>
          <w:color w:val="1A7A6D"/>
          <w:sz w:val="20"/>
        </w:rPr>
        <w:t>Figure 6: GRASP assignments</w:t>
      </w:r>
    </w:p>
    <w:p>
      <w:pPr>
        <w:spacing w:after="240"/>
      </w:pPr>
      <w:r>
        <w:rPr>
          <w:rFonts w:ascii="Calibri" w:hAnsi="Calibri" w:eastAsia="Calibri"/>
          <w:b w:val="0"/>
          <w:i w:val="0"/>
          <w:color w:val="5B6770"/>
          <w:sz w:val="20"/>
        </w:rPr>
        <w:t>Controller, Creator, Expert, Protected Variations, Pure Fabrication, Indirection.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GRASP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Handle system events of UC-02</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SalesLineItem</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Payment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line total</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sale total</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Decide if a batch may be sold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Reduce stock</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 / InventoryService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 / High Cohesion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 passwords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PasswordHasher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Write audit rows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AuditLogger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Isolate payment kinds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(cash, card, mobile money)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Protected Variations / Polymorphism</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 or show a receipt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Indirection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 aggregates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and related repositories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 / Low Coupling</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views off repositories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 Coupling</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reason to change per class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vs SaleController vs SaleRepository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Cohesion</w:t>
            </w:r>
          </w:p>
        </w:tc>
      </w:tr>
    </w:tbl>
    <w:p/>
    <w:p>
      <w:pPr>
        <w:pStyle w:val="Heading1"/>
      </w:pPr>
      <w:r>
        <w:t>18. Database Design</w:t>
      </w:r>
    </w:p>
    <w:p>
      <w:pPr>
        <w:spacing w:after="160"/>
      </w:pPr>
      <w:r>
        <w:rPr>
          <w:rFonts w:ascii="Calibri" w:hAnsi="Calibri" w:eastAsia="Calibri"/>
          <w:b w:val="0"/>
          <w:i w:val="0"/>
          <w:color w:val="1A2332"/>
          <w:sz w:val="22"/>
        </w:rPr>
        <w:t>Conceptual model = domain model. Logical model = tables in 3NF with price copied onto sale lines.</w:t>
      </w:r>
    </w:p>
    <w:p>
      <w:pPr>
        <w:pStyle w:val="Heading1"/>
      </w:pPr>
      <w:r>
        <w:t>19. ERD</w:t>
      </w:r>
    </w:p>
    <w:p>
      <w:pPr>
        <w:jc w:val="center"/>
      </w:pPr>
      <w:r>
        <w:drawing>
          <wp:inline xmlns:a="http://schemas.openxmlformats.org/drawingml/2006/main" xmlns:pic="http://schemas.openxmlformats.org/drawingml/2006/picture">
            <wp:extent cx="5688000" cy="4427591"/>
            <wp:docPr id="7" name="Picture 7"/>
            <wp:cNvGraphicFramePr>
              <a:graphicFrameLocks noChangeAspect="1"/>
            </wp:cNvGraphicFramePr>
            <a:graphic>
              <a:graphicData uri="http://schemas.openxmlformats.org/drawingml/2006/picture">
                <pic:pic>
                  <pic:nvPicPr>
                    <pic:cNvPr id="0" name="ERD-Logical.png"/>
                    <pic:cNvPicPr/>
                  </pic:nvPicPr>
                  <pic:blipFill>
                    <a:blip r:embed="rId17"/>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7: ERD</w:t>
      </w:r>
    </w:p>
    <w:p>
      <w:pPr>
        <w:spacing w:after="240"/>
      </w:pPr>
      <w:r>
        <w:rPr>
          <w:rFonts w:ascii="Calibri" w:hAnsi="Calibri" w:eastAsia="Calibri"/>
          <w:b w:val="0"/>
          <w:i w:val="0"/>
          <w:color w:val="5B6770"/>
          <w:sz w:val="20"/>
        </w:rPr>
        <w:t>Consistent with domain classes and use cases.</w:t>
      </w:r>
    </w:p>
    <w:p>
      <w:pPr>
        <w:pStyle w:val="Heading1"/>
      </w:pPr>
      <w:r>
        <w:t>20. Database Schema</w:t>
      </w:r>
    </w:p>
    <w:p>
      <w:pPr>
        <w:spacing w:after="160"/>
      </w:pPr>
      <w:r>
        <w:rPr>
          <w:rFonts w:ascii="Calibri" w:hAnsi="Calibri" w:eastAsia="Calibri"/>
          <w:b w:val="0"/>
          <w:i w:val="0"/>
          <w:color w:val="1A2332"/>
          <w:sz w:val="22"/>
        </w:rPr>
        <w:t>Full column catalogue: Complete System Design Document §15 and Database-Design/Pharmacy-POS-Database-Design.docx.</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Supports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UC-05</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 / stock_batches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UC-03, UC-04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 sale_items / payments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UC-09</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 / prescriptions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UC-08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 / adjustments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r>
    </w:tbl>
    <w:p/>
    <w:p>
      <w:pPr>
        <w:pStyle w:val="Heading1"/>
      </w:pPr>
      <w:r>
        <w:t>21. UI Design</w:t>
      </w:r>
    </w:p>
    <w:p>
      <w:pPr>
        <w:jc w:val="center"/>
      </w:pPr>
      <w:r>
        <w:drawing>
          <wp:inline xmlns:a="http://schemas.openxmlformats.org/drawingml/2006/main" xmlns:pic="http://schemas.openxmlformats.org/drawingml/2006/picture">
            <wp:extent cx="5688000" cy="3357500"/>
            <wp:docPr id="8" name="Picture 8"/>
            <wp:cNvGraphicFramePr>
              <a:graphicFrameLocks noChangeAspect="1"/>
            </wp:cNvGraphicFramePr>
            <a:graphic>
              <a:graphicData uri="http://schemas.openxmlformats.org/drawingml/2006/picture">
                <pic:pic>
                  <pic:nvPicPr>
                    <pic:cNvPr id="0" name="UI-02-POS-Sale.png"/>
                    <pic:cNvPicPr/>
                  </pic:nvPicPr>
                  <pic:blipFill>
                    <a:blip r:embed="rId18"/>
                    <a:stretch>
                      <a:fillRect/>
                    </a:stretch>
                  </pic:blipFill>
                  <pic:spPr>
                    <a:xfrm>
                      <a:off x="0" y="0"/>
                      <a:ext cx="5688000" cy="3357500"/>
                    </a:xfrm>
                    <a:prstGeom prst="rect"/>
                  </pic:spPr>
                </pic:pic>
              </a:graphicData>
            </a:graphic>
          </wp:inline>
        </w:drawing>
      </w:r>
    </w:p>
    <w:p>
      <w:pPr>
        <w:spacing w:after="80"/>
      </w:pPr>
      <w:r>
        <w:rPr>
          <w:rFonts w:ascii="Calibri" w:hAnsi="Calibri" w:eastAsia="Calibri"/>
          <w:b w:val="0"/>
          <w:i/>
          <w:color w:val="1A7A6D"/>
          <w:sz w:val="20"/>
        </w:rPr>
        <w:t>Figure 8: Pharmacist sales prototype</w:t>
      </w:r>
    </w:p>
    <w:p>
      <w:pPr>
        <w:spacing w:after="240"/>
      </w:pPr>
      <w:r>
        <w:rPr>
          <w:rFonts w:ascii="Calibri" w:hAnsi="Calibri" w:eastAsia="Calibri"/>
          <w:b w:val="0"/>
          <w:i w:val="0"/>
          <w:color w:val="5B6770"/>
          <w:sz w:val="20"/>
        </w:rPr>
        <w:t>NFR-03.</w:t>
      </w:r>
    </w:p>
    <w:p>
      <w:pPr>
        <w:jc w:val="center"/>
      </w:pPr>
      <w:r>
        <w:drawing>
          <wp:inline xmlns:a="http://schemas.openxmlformats.org/drawingml/2006/main" xmlns:pic="http://schemas.openxmlformats.org/drawingml/2006/picture">
            <wp:extent cx="5688000" cy="3286964"/>
            <wp:docPr id="9" name="Picture 9"/>
            <wp:cNvGraphicFramePr>
              <a:graphicFrameLocks noChangeAspect="1"/>
            </wp:cNvGraphicFramePr>
            <a:graphic>
              <a:graphicData uri="http://schemas.openxmlformats.org/drawingml/2006/picture">
                <pic:pic>
                  <pic:nvPicPr>
                    <pic:cNvPr id="0" name="UI-06-Admin-Dashboard.png"/>
                    <pic:cNvPicPr/>
                  </pic:nvPicPr>
                  <pic:blipFill>
                    <a:blip r:embed="rId19"/>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9: Administrator prototype</w:t>
      </w:r>
    </w:p>
    <w:p>
      <w:pPr>
        <w:spacing w:after="240"/>
      </w:pPr>
      <w:r>
        <w:rPr>
          <w:rFonts w:ascii="Calibri" w:hAnsi="Calibri" w:eastAsia="Calibri"/>
          <w:b w:val="0"/>
          <w:i w:val="0"/>
          <w:color w:val="5B6770"/>
          <w:sz w:val="20"/>
        </w:rPr>
        <w:t>Alerts, not a third role.</w:t>
      </w:r>
    </w:p>
    <w:p>
      <w:pPr>
        <w:pStyle w:val="Heading1"/>
      </w:pPr>
      <w:r>
        <w:t>22. Implementation Summary</w:t>
      </w:r>
    </w:p>
    <w:p>
      <w:pPr>
        <w:spacing w:after="160"/>
      </w:pPr>
      <w:r>
        <w:rPr>
          <w:rFonts w:ascii="Calibri" w:hAnsi="Calibri" w:eastAsia="Calibri"/>
          <w:b w:val="0"/>
          <w:i w:val="0"/>
          <w:color w:val="1A2332"/>
          <w:sz w:val="22"/>
        </w:rPr>
        <w:t>PharmaPoint is implemented in Pharmacy-POS/apoza/. The stack is Python 3.10+, FastAPI, Starlette sessions, SQLAlchemy ORM, SQLite, Jinja2 templates, and PBKDF2 password hashing. Sale completion and stock decrement run in one database transaction (SaleService.complete_sale). Two roles are enforced: Administrator and Pharmacist/Cashier.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Layer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Package / folder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apoza/presentation/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Routes, Jinja screens, static assets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apoza/application/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AuthService, InventoryService, audit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apoza/domain/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rules, payment rules, enums, authorisation policy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apoza/persistence/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SQLAlchemy models, database session, seed data</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PBKDF2 password hashing with per-user salt</w:t>
            </w:r>
          </w:p>
        </w:tc>
      </w:tr>
    </w:tbl>
    <w:p/>
    <w:p>
      <w:pPr>
        <w:pStyle w:val="Heading1"/>
      </w:pPr>
      <w:r>
        <w:t>23. Testing</w:t>
      </w:r>
    </w:p>
    <w:p>
      <w:pPr>
        <w:spacing w:after="160"/>
      </w:pPr>
      <w:r>
        <w:rPr>
          <w:rFonts w:ascii="Calibri" w:hAnsi="Calibri" w:eastAsia="Calibri"/>
          <w:b w:val="0"/>
          <w:i w:val="0"/>
          <w:color w:val="1A2332"/>
          <w:sz w:val="22"/>
        </w:rPr>
        <w:t>Unit and integration cases are specified in the Construction report (UT-01–UT-12, IT-01–IT-08). September 2026 execution: 21 tests passed in 10.66 seconds (pytest -q).</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Test file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Coverage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tests/test_domain.py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rules — expiry, quantity, totals, role policy, password hash</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tests/test_sale_service.py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 login, add item, expiry refusal, prescription, void, payment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tests/test_integration.py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HTTP paths — OTC sale, role separation, admin dashboard</w:t>
            </w:r>
          </w:p>
        </w:tc>
      </w:tr>
    </w:tbl>
    <w:p/>
    <w:p>
      <w:pPr>
        <w:pStyle w:val="Heading1"/>
      </w:pPr>
      <w:r>
        <w:t>24. Git / Version Control</w:t>
      </w:r>
    </w:p>
    <w:p>
      <w:pPr>
        <w:spacing w:after="160"/>
      </w:pPr>
      <w:r>
        <w:rPr>
          <w:rFonts w:ascii="Calibri" w:hAnsi="Calibri" w:eastAsia="Calibri"/>
          <w:b w:val="0"/>
          <w:i w:val="0"/>
          <w:color w:val="1A2332"/>
          <w:sz w:val="22"/>
        </w:rPr>
        <w:t>Branching: main, feature/F-xx, fix/DEF-xx. Documentation currently lives under Pharmacy-POS/.</w:t>
      </w:r>
    </w:p>
    <w:p>
      <w:pPr>
        <w:pStyle w:val="Heading1"/>
      </w:pPr>
      <w:r>
        <w:t>25. Continuous Integration</w:t>
      </w:r>
    </w:p>
    <w:p>
      <w:pPr>
        <w:jc w:val="center"/>
      </w:pPr>
      <w:r>
        <w:drawing>
          <wp:inline xmlns:a="http://schemas.openxmlformats.org/drawingml/2006/main" xmlns:pic="http://schemas.openxmlformats.org/drawingml/2006/picture">
            <wp:extent cx="5688000" cy="3083331"/>
            <wp:docPr id="10" name="Picture 10"/>
            <wp:cNvGraphicFramePr>
              <a:graphicFrameLocks noChangeAspect="1"/>
            </wp:cNvGraphicFramePr>
            <a:graphic>
              <a:graphicData uri="http://schemas.openxmlformats.org/drawingml/2006/picture">
                <pic:pic>
                  <pic:nvPicPr>
                    <pic:cNvPr id="0" name="Git-CI-Workflow.png"/>
                    <pic:cNvPicPr/>
                  </pic:nvPicPr>
                  <pic:blipFill>
                    <a:blip r:embed="rId20"/>
                    <a:stretch>
                      <a:fillRect/>
                    </a:stretch>
                  </pic:blipFill>
                  <pic:spPr>
                    <a:xfrm>
                      <a:off x="0" y="0"/>
                      <a:ext cx="5688000" cy="3083331"/>
                    </a:xfrm>
                    <a:prstGeom prst="rect"/>
                  </pic:spPr>
                </pic:pic>
              </a:graphicData>
            </a:graphic>
          </wp:inline>
        </w:drawing>
      </w:r>
    </w:p>
    <w:p>
      <w:pPr>
        <w:spacing w:after="80"/>
      </w:pPr>
      <w:r>
        <w:rPr>
          <w:rFonts w:ascii="Calibri" w:hAnsi="Calibri" w:eastAsia="Calibri"/>
          <w:b w:val="0"/>
          <w:i/>
          <w:color w:val="1A7A6D"/>
          <w:sz w:val="20"/>
        </w:rPr>
        <w:t>Figure 10: Planned CI</w:t>
      </w:r>
    </w:p>
    <w:p>
      <w:pPr>
        <w:spacing w:after="240"/>
      </w:pPr>
      <w:r>
        <w:rPr>
          <w:rFonts w:ascii="Calibri" w:hAnsi="Calibri" w:eastAsia="Calibri"/>
          <w:b w:val="0"/>
          <w:i w:val="0"/>
          <w:color w:val="5B6770"/>
          <w:sz w:val="20"/>
        </w:rPr>
        <w:t>TO BE COMPLETED DURING CONSTRUCTION as a live pipeline.</w:t>
      </w:r>
    </w:p>
    <w:p>
      <w:pPr>
        <w:pStyle w:val="Heading1"/>
      </w:pPr>
      <w:r>
        <w:t>26. Defect Tracking</w:t>
      </w:r>
    </w:p>
    <w:p>
      <w:pPr>
        <w:spacing w:before="120" w:after="200"/>
      </w:pPr>
      <w:r>
        <w:rPr>
          <w:rFonts w:ascii="Calibri" w:hAnsi="Calibri" w:eastAsia="Calibri"/>
          <w:b/>
          <w:i/>
          <w:color w:val="8A5A00"/>
          <w:sz w:val="22"/>
        </w:rPr>
        <w:t>DEFECT STATISTICS: TO BE COMPLETED DURING CONSTRUCTION</w:t>
      </w:r>
    </w:p>
    <w:p>
      <w:pPr>
        <w:pStyle w:val="Heading1"/>
      </w:pPr>
      <w:r>
        <w:t>27. Beta Testing</w:t>
      </w:r>
    </w:p>
    <w:p>
      <w:pPr>
        <w:spacing w:before="120" w:after="200"/>
      </w:pPr>
      <w:r>
        <w:rPr>
          <w:rFonts w:ascii="Calibri" w:hAnsi="Calibri" w:eastAsia="Calibri"/>
          <w:b/>
          <w:i/>
          <w:color w:val="8A5A00"/>
          <w:sz w:val="22"/>
        </w:rPr>
        <w:t>BETA OUTCOMES: TO BE COMPLETED DURING TRANSITION</w:t>
      </w:r>
    </w:p>
    <w:p>
      <w:pPr>
        <w:pStyle w:val="Heading1"/>
      </w:pPr>
      <w:r>
        <w:t>28. Performance</w:t>
      </w:r>
    </w:p>
    <w:p>
      <w:pPr>
        <w:spacing w:after="160"/>
      </w:pPr>
      <w:r>
        <w:rPr>
          <w:rFonts w:ascii="Calibri" w:hAnsi="Calibri" w:eastAsia="Calibri"/>
          <w:b w:val="0"/>
          <w:i w:val="0"/>
          <w:color w:val="1A2332"/>
          <w:sz w:val="22"/>
        </w:rPr>
        <w:t>Target idea: NFR-02 (~3 seconds per line on the intended workstation).</w:t>
      </w:r>
    </w:p>
    <w:p>
      <w:pPr>
        <w:spacing w:before="120" w:after="200"/>
      </w:pPr>
      <w:r>
        <w:rPr>
          <w:rFonts w:ascii="Calibri" w:hAnsi="Calibri" w:eastAsia="Calibri"/>
          <w:b/>
          <w:i/>
          <w:color w:val="8A5A00"/>
          <w:sz w:val="22"/>
        </w:rPr>
        <w:t>PERFORMANCE MEASUREMENTS: TO BE COMPLETED DURING TRANSITION</w:t>
      </w:r>
    </w:p>
    <w:p>
      <w:pPr>
        <w:pStyle w:val="Heading1"/>
      </w:pPr>
      <w:r>
        <w:t>29. Security</w:t>
      </w:r>
    </w:p>
    <w:p>
      <w:pPr>
        <w:spacing w:after="160"/>
      </w:pPr>
      <w:r>
        <w:rPr>
          <w:rFonts w:ascii="Calibri" w:hAnsi="Calibri" w:eastAsia="Calibri"/>
          <w:b w:val="0"/>
          <w:i w:val="0"/>
          <w:color w:val="1A2332"/>
          <w:sz w:val="22"/>
        </w:rPr>
        <w:t>Design: hashed passwords, two roles, audit, session timeout, no plaintext.</w:t>
      </w:r>
    </w:p>
    <w:p>
      <w:pPr>
        <w:spacing w:before="120" w:after="200"/>
      </w:pPr>
      <w:r>
        <w:rPr>
          <w:rFonts w:ascii="Calibri" w:hAnsi="Calibri" w:eastAsia="Calibri"/>
          <w:b/>
          <w:i/>
          <w:color w:val="8A5A00"/>
          <w:sz w:val="22"/>
        </w:rPr>
        <w:t>SECURITY TEST RESULTS: TO BE COMPLETED DURING TRANSITION</w:t>
      </w:r>
    </w:p>
    <w:p>
      <w:pPr>
        <w:pStyle w:val="Heading1"/>
      </w:pPr>
      <w:r>
        <w:t>30. Final System</w:t>
      </w:r>
    </w:p>
    <w:p>
      <w:pPr>
        <w:spacing w:after="160"/>
      </w:pPr>
      <w:r>
        <w:rPr>
          <w:rFonts w:ascii="Calibri" w:hAnsi="Calibri" w:eastAsia="Calibri"/>
          <w:b w:val="0"/>
          <w:i w:val="0"/>
          <w:color w:val="1A2332"/>
          <w:sz w:val="22"/>
        </w:rPr>
        <w:t>The final system will be the constructed realisation of the models in this pack. Until START IMPLEMENTATION, the “final system” is the approved design.</w:t>
      </w:r>
    </w:p>
    <w:p>
      <w:pPr>
        <w:pStyle w:val="Heading1"/>
      </w:pPr>
      <w:r>
        <w:t>31. UP Iterations</w:t>
      </w:r>
    </w:p>
    <w:p>
      <w:pPr>
        <w:jc w:val="center"/>
      </w:pPr>
      <w:r>
        <w:drawing>
          <wp:inline xmlns:a="http://schemas.openxmlformats.org/drawingml/2006/main" xmlns:pic="http://schemas.openxmlformats.org/drawingml/2006/picture">
            <wp:extent cx="5688000" cy="3286964"/>
            <wp:docPr id="11" name="Picture 11"/>
            <wp:cNvGraphicFramePr>
              <a:graphicFrameLocks noChangeAspect="1"/>
            </wp:cNvGraphicFramePr>
            <a:graphic>
              <a:graphicData uri="http://schemas.openxmlformats.org/drawingml/2006/picture">
                <pic:pic>
                  <pic:nvPicPr>
                    <pic:cNvPr id="0" name="Iteration-Plan-15-Weeks.png"/>
                    <pic:cNvPicPr/>
                  </pic:nvPicPr>
                  <pic:blipFill>
                    <a:blip r:embed="rId21"/>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11: Iteration plan</w:t>
      </w:r>
    </w:p>
    <w:p>
      <w:pPr>
        <w:spacing w:after="240"/>
      </w:pPr>
      <w:r>
        <w:rPr>
          <w:rFonts w:ascii="Calibri" w:hAnsi="Calibri" w:eastAsia="Calibri"/>
          <w:b w:val="0"/>
          <w:i w:val="0"/>
          <w:color w:val="5B6770"/>
          <w:sz w:val="20"/>
        </w:rPr>
        <w:t>Copied from the marking guide’s weeks and marks.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What existed at the end (this pack)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10% UC-02, risks, feasibility, plan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use cases, SSDs, domain, architecture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100% use cases, DCD, GRASP, UI, schema</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Plans and test catalogues only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Beta/demo plans and user manual draft</w:t>
            </w:r>
          </w:p>
        </w:tc>
      </w:tr>
    </w:tbl>
    <w:p/>
    <w:p>
      <w:pPr>
        <w:pStyle w:val="Heading1"/>
      </w:pPr>
      <w:r>
        <w:t>32. UP Reflection</w:t>
      </w:r>
    </w:p>
    <w:p>
      <w:pPr>
        <w:pStyle w:val="Heading2"/>
      </w:pPr>
      <w:r>
        <w:t>32.1 Inception</w:t>
      </w:r>
    </w:p>
    <w:p>
      <w:pPr>
        <w:spacing w:after="160"/>
      </w:pPr>
      <w:r>
        <w:rPr>
          <w:rFonts w:ascii="Calibri" w:hAnsi="Calibri" w:eastAsia="Calibri"/>
          <w:b w:val="0"/>
          <w:i w:val="0"/>
          <w:color w:val="1A2332"/>
          <w:sz w:val="22"/>
        </w:rPr>
        <w:t>Inception was useful when we treated it as a decision, not a document dump. Naming UC-02 as the 10% stopped a temptation — visible in an earlier briefing slide — to list four unrelated “10% use cases” including refill-and-insurance stories that were out of scope. The two-role rule also forced us to delete Manager and Cashier as actors.</w:t>
      </w:r>
    </w:p>
    <w:p>
      <w:pPr>
        <w:pStyle w:val="Heading2"/>
      </w:pPr>
      <w:r>
        <w:t>32.2 Elaboration</w:t>
      </w:r>
    </w:p>
    <w:p>
      <w:pPr>
        <w:spacing w:after="160"/>
      </w:pPr>
      <w:r>
        <w:rPr>
          <w:rFonts w:ascii="Calibri" w:hAnsi="Calibri" w:eastAsia="Calibri"/>
          <w:b w:val="0"/>
          <w:i w:val="0"/>
          <w:color w:val="1A2332"/>
          <w:sz w:val="22"/>
        </w:rPr>
        <w:t>Elaboration felt like the real project: SSDs made enterItem the centre of the design, and the domain model forced StockBatch into existence. Copying Larman’s Register would have been ritual; omitting it was a need-to-know decision. GRASP stopped SaleController from becoming a god class only because we kept writing the Expert column down.</w:t>
      </w:r>
    </w:p>
    <w:p>
      <w:pPr>
        <w:pStyle w:val="Heading2"/>
      </w:pPr>
      <w:r>
        <w:t>32.3 Construction</w:t>
      </w:r>
    </w:p>
    <w:p>
      <w:pPr>
        <w:spacing w:after="160"/>
      </w:pPr>
      <w:r>
        <w:rPr>
          <w:rFonts w:ascii="Calibri" w:hAnsi="Calibri" w:eastAsia="Calibri"/>
          <w:b w:val="0"/>
          <w:i w:val="0"/>
          <w:color w:val="1A2332"/>
          <w:sz w:val="22"/>
        </w:rPr>
        <w:t>Construction has not been lived yet. The planned lesson is to grow vertical slices (a sale that persists) rather than a finished UI layer with no domain. Reflection on what actually slipped will be written after the iterations run.</w:t>
      </w:r>
    </w:p>
    <w:p>
      <w:pPr>
        <w:spacing w:before="120" w:after="200"/>
      </w:pPr>
      <w:r>
        <w:rPr>
          <w:rFonts w:ascii="Calibri" w:hAnsi="Calibri" w:eastAsia="Calibri"/>
          <w:b/>
          <w:i/>
          <w:color w:val="8A5A00"/>
          <w:sz w:val="22"/>
        </w:rPr>
        <w:t>CONSTRUCTION REFLECTION FROM EXPERIENCE: TO BE COMPLETED DURING CONSTRUCTION</w:t>
      </w:r>
    </w:p>
    <w:p>
      <w:pPr>
        <w:pStyle w:val="Heading2"/>
      </w:pPr>
      <w:r>
        <w:t>32.4 Transition</w:t>
      </w:r>
    </w:p>
    <w:p>
      <w:pPr>
        <w:spacing w:after="160"/>
      </w:pPr>
      <w:r>
        <w:rPr>
          <w:rFonts w:ascii="Calibri" w:hAnsi="Calibri" w:eastAsia="Calibri"/>
          <w:b w:val="0"/>
          <w:i w:val="0"/>
          <w:color w:val="1A2332"/>
          <w:sz w:val="22"/>
        </w:rPr>
        <w:t>Transition is planned as the first time a Pharmacist who is not the author touches the sales screen. That is where R-05 will be confirmed or denied.</w:t>
      </w:r>
    </w:p>
    <w:p>
      <w:pPr>
        <w:spacing w:before="120" w:after="200"/>
      </w:pPr>
      <w:r>
        <w:rPr>
          <w:rFonts w:ascii="Calibri" w:hAnsi="Calibri" w:eastAsia="Calibri"/>
          <w:b/>
          <w:i/>
          <w:color w:val="8A5A00"/>
          <w:sz w:val="22"/>
        </w:rPr>
        <w:t>TRANSITION REFLECTION FROM EXPERIENCE: TO BE COMPLETED DURING TRANSITION</w:t>
      </w:r>
    </w:p>
    <w:p>
      <w:pPr>
        <w:pStyle w:val="Heading1"/>
      </w:pPr>
      <w:r>
        <w:t>33. Lessons Learned</w:t>
      </w:r>
    </w:p>
    <w:p>
      <w:pPr>
        <w:pStyle w:val="ListBullet"/>
      </w:pPr>
      <w:r>
        <w:rPr>
          <w:rFonts w:ascii="Calibri" w:hAnsi="Calibri" w:eastAsia="Calibri"/>
          <w:b w:val="0"/>
          <w:i w:val="0"/>
          <w:color w:val="1A2332"/>
          <w:sz w:val="22"/>
        </w:rPr>
        <w:t>A use case is a user goal. “Scan barcode” is a technology variation of enterItem.</w:t>
      </w:r>
    </w:p>
    <w:p>
      <w:pPr>
        <w:pStyle w:val="ListBullet"/>
      </w:pPr>
      <w:r>
        <w:rPr>
          <w:rFonts w:ascii="Calibri" w:hAnsi="Calibri" w:eastAsia="Calibri"/>
          <w:b w:val="0"/>
          <w:i w:val="0"/>
          <w:color w:val="1A2332"/>
          <w:sz w:val="22"/>
        </w:rPr>
        <w:t>Two roles is a design constraint, not a caption. It changes the use-case diagram, the UI, and the users table.</w:t>
      </w:r>
    </w:p>
    <w:p>
      <w:pPr>
        <w:pStyle w:val="ListBullet"/>
      </w:pPr>
      <w:r>
        <w:rPr>
          <w:rFonts w:ascii="Calibri" w:hAnsi="Calibri" w:eastAsia="Calibri"/>
          <w:b w:val="0"/>
          <w:i w:val="0"/>
          <w:color w:val="1A2332"/>
          <w:sz w:val="22"/>
        </w:rPr>
        <w:t>Pharmacy POS is not NextGen POS. Batch expiry and prescriptions are first-class; Register is not.</w:t>
      </w:r>
    </w:p>
    <w:p>
      <w:pPr>
        <w:pStyle w:val="ListBullet"/>
      </w:pPr>
      <w:r>
        <w:rPr>
          <w:rFonts w:ascii="Calibri" w:hAnsi="Calibri" w:eastAsia="Calibri"/>
          <w:b w:val="0"/>
          <w:i w:val="0"/>
          <w:color w:val="1A2332"/>
          <w:sz w:val="22"/>
        </w:rPr>
        <w:t>Assumptions (manual mobile money, no NHIMA) must stay in an assumptions table or they become fake requirements.</w:t>
      </w:r>
    </w:p>
    <w:p>
      <w:pPr>
        <w:pStyle w:val="ListBullet"/>
      </w:pPr>
      <w:r>
        <w:rPr>
          <w:rFonts w:ascii="Calibri" w:hAnsi="Calibri" w:eastAsia="Calibri"/>
          <w:b w:val="0"/>
          <w:i w:val="0"/>
          <w:color w:val="1A2332"/>
          <w:sz w:val="22"/>
        </w:rPr>
        <w:t>Risks that are “mitigated in design” are not the same as risks that are gone.</w:t>
      </w:r>
    </w:p>
    <w:p>
      <w:pPr>
        <w:pStyle w:val="ListBullet"/>
      </w:pPr>
      <w:r>
        <w:rPr>
          <w:rFonts w:ascii="Calibri" w:hAnsi="Calibri" w:eastAsia="Calibri"/>
          <w:b w:val="0"/>
          <w:i w:val="0"/>
          <w:color w:val="1A2332"/>
          <w:sz w:val="22"/>
        </w:rPr>
        <w:t>Documentation-first only works if identifiers stay stable (FR-05 is FR-05 in the test list).</w:t>
      </w:r>
    </w:p>
    <w:p>
      <w:pPr>
        <w:pStyle w:val="Heading1"/>
      </w:pPr>
      <w:r>
        <w:t>34. Conclusion</w:t>
      </w:r>
    </w:p>
    <w:p>
      <w:pPr>
        <w:spacing w:after="160"/>
      </w:pPr>
      <w:r>
        <w:rPr>
          <w:rFonts w:ascii="Calibri" w:hAnsi="Calibri" w:eastAsia="Calibri"/>
          <w:b w:val="0"/>
          <w:i w:val="0"/>
          <w:color w:val="1A2332"/>
          <w:sz w:val="22"/>
        </w:rPr>
        <w:t>Group 20 has a connected UP design for a two-role pharmacy POS. Process Sale is the thread through requirements, SSD, domain, DCD, schema, UI, tests, and the demo plan. The honest remaining work is construction, measured transition, and a live demonstration. That work starts only when the group is told START IMPLEMENTATION.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p>
      <w:pPr>
        <w:pStyle w:val="Heading1"/>
      </w:pPr>
      <w:r>
        <w:t>Appendices</w:t>
      </w:r>
    </w:p>
    <w:p>
      <w:pPr>
        <w:pStyle w:val="Heading2"/>
      </w:pPr>
      <w:r>
        <w:t>Appendix A  Diagram inventory</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Week</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UP Phase</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Diagram / artefact</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Purpose</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UC-Inception-10-Percent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 use-case model</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UP-Phases, Iteration-Plan-15-Weeks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Methodology and calendar</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UC-Elaboration1-30-Percent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selection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SSD-UC01, SSD-UC02, SSD-UC03</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events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Domain-Model</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Conceptual classes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Layered-Architecture-PoC, Architecture-Sale-Path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Proof-of-concept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UC-Complete, SSD-UC04, SSD-UC09</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behaviour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DCD-Process-Sale, DCD-Overview, GRASP-Assignments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UI-01 to UI-10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Prototypes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ERD-Logical, Schema-Groups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 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3–4</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Git-CI-Workflow, test tables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How software will be grown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Updated models (same files until drift)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Baseline for beta</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presentation figures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Same models, not a second design</w:t>
            </w:r>
          </w:p>
        </w:tc>
      </w:tr>
    </w:tbl>
    <w:p/>
    <w:p>
      <w:pPr>
        <w:pStyle w:val="Heading2"/>
      </w:pPr>
      <w:r>
        <w:t>Appendix B  Companion documents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Document</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Folder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Documentation/01-Inception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1</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Documentation/02-Elaboration-Iteration-1</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2</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Documentation/03-Elaboration-Iteration-2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System Design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Documentation/04-Complete-System-Design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&amp; Testing</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Documentation/05-Construction-Testing</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&amp; Beta</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Documentation/06-Transition-Beta</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Manual</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Documentation/07-User-Manual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Compliance matrix</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Documentation/00-Project-Control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design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Database-Design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r>
    </w:tbl>
    <w:p/>
    <w:p>
      <w:pPr>
        <w:pStyle w:val="Heading2"/>
      </w:pPr>
      <w:r>
        <w:t>Appendix C  Group members</w:t>
      </w:r>
    </w:p>
    <w:p>
      <w:pPr>
        <w:spacing w:after="160"/>
      </w:pPr>
      <w:r>
        <w:rPr>
          <w:rFonts w:ascii="Calibri" w:hAnsi="Calibri" w:eastAsia="Calibri"/>
          <w:b w:val="0"/>
          <w:i w:val="0"/>
          <w:color w:val="1A2332"/>
          <w:sz w:val="22"/>
        </w:rPr>
        <w:t>Insert official Group 20 names, student numbers, and contributions before submission.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Student number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Primary contribution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bl>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Final Project Report    |    Week 15 submission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