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adoption of secure coding standards is essential to the development of resilient software systems. Secure coding standards provide developers with a structured framework to identify and prevent vulnerabilities such as buffer overflows, SQL injection, and improper authentication handling. By incorporating standards such as SEI CERT C++ early in the software development lifecycle, security becomes an intrinsic part of system design rather than a final checklist item. Addressing security only at the end of development often leads to expensive rework, deployment delays, and increased exposure to threats that could have been mitigated with proactive design and implementation choices.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and assessing risk, alongside conducting a cost-benefit analysis of mitigation strategies, form the foundation of effective security management. Risk assessment involves identifying potential threats, analyzing their likelihood, and determining the impact of their occurrence. For example, neglecting to sanitize inputs in web applications creates a significant risk of SQL injection attacks, potentially exposing sensitive user data. The cost of implementing input validation and parameterized queries is minimal compared to the potential financial, legal, and reputational damage of a breach. However, it is also important to recognize that not all risks require mitigation. If a threat has a low probability of occurrence and minimal potential impact, it may be acceptable to retain the risk or apply alternative compensating controls. This ensures that security resources are allocated to areas with the greatest return on investment for the organization.</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zero trust security model is increasingly recognized as a necessary strategy for modern enterprise architecture. This approach operates on the principle that no user, device, or network segment is inherently trusted, whether located inside or outside organizational boundaries. Under zero trust, access is granted based on strict identity verification, device health checks, and contextual analysis, all while enforcing least privilege principles. This model significantly reduces the risk of lateral movement within a network should an attacker gain entry, as evidenced by past breaches in large organizations. Implementation of zero trust requires multi factor authentication, strong access controls, micro-segmentation, and continuous monitoring. As organizations transition to cloud infrastructures and remote workforces, the traditional concept of a secure perimeter becomes obsolete, making zero trust essential for protecting critical assets.</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effective security policies requires clarity, enforceability, and adaptability. Policies set high-level expectations and principles, while standards and procedures provide the specific details needed for implementation. For instance, password policies that require complexity, rotation, and multifactor authentication strengthen identity security, but their success depends on enforcement mechanisms and user education. Recommendations for effective policy implementation include aligning with regulatory frameworks, incorporating feedback from technical teams to ensure practicality, and conducting regular reviews to update policies in line with evolving threats and technological advancements. Security policies must remain living documents, updated and communicated clearly to maintain organizational compliance and resilience.</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