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Arial" w:hAnsi="Arial" w:cs="Arial" w:eastAsia="Arial"/>
          <w:b/>
          <w:i w:val="0"/>
          <w:sz w:val="32"/>
          <w:lang w:val="ru-RU" w:eastAsia="ru-RU" w:bidi="ru-RU"/>
        </w:rPr>
        <w:t>ПРЕДВАРИТЕЛЬНЫЙ ЗАКАЗ</w:t>
      </w:r>
    </w:p>
    <w:p>
      <w:pPr>
        <w:spacing w:before="0" w:after="160"/>
        <w:jc w:val="both"/>
      </w:pPr>
      <w:r>
        <w:rPr>
          <w:rFonts w:ascii="Arial" w:hAnsi="Arial" w:cs="Arial" w:eastAsia="Arial"/>
          <w:b w:val="0"/>
          <w:i w:val="0"/>
          <w:sz w:val="24"/>
          <w:lang w:val="ru-RU" w:eastAsia="ru-RU" w:bidi="ru-RU"/>
        </w:rPr>
        <w:t>ООО «Ковш и перец» направляет ООО «Стеклянный край» предварительный заказ на стеклянные бутылки для соусов.</w:t>
      </w:r>
    </w:p>
    <w:p>
      <w:pPr>
        <w:spacing w:before="0" w:after="160"/>
        <w:jc w:val="both"/>
      </w:pPr>
      <w:r>
        <w:rPr>
          <w:rFonts w:ascii="Arial" w:hAnsi="Arial" w:cs="Arial" w:eastAsia="Arial"/>
          <w:b w:val="0"/>
          <w:i w:val="0"/>
          <w:sz w:val="24"/>
          <w:lang w:val="ru-RU" w:eastAsia="ru-RU" w:bidi="ru-RU"/>
        </w:rPr>
        <w:t>Заказ фиксирует намерение сторон и подлежит уточнению по объёму перед отгрузкой.</w:t>
      </w:r>
    </w:p>
    <w:p>
      <w:pPr>
        <w:spacing w:before="0" w:after="0"/>
        <w:jc w:val="both"/>
      </w:pPr>
      <w:r>
        <w:rPr>
          <w:rFonts w:ascii="Arial" w:hAnsi="Arial" w:cs="Arial" w:eastAsia="Arial"/>
          <w:b w:val="0"/>
          <w:i w:val="0"/>
          <w:sz w:val="24"/>
          <w:lang w:val="ru-RU" w:eastAsia="ru-RU" w:bidi="ru-RU"/>
        </w:rPr>
        <w:t>Ориентир оплаты за партию — 128 900 руб.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Предварительный заказ</dc:title>
  <dc:subject/>
  <dc:creator>Полина Верховая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