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lang w:val="ru-RU" w:eastAsia="ru-RU" w:bidi="ru-RU"/>
        </w:rPr>
        <w:t>РАМОЧНЫЙ ДОГОВОР</w:t>
      </w:r>
    </w:p>
    <w:p>
      <w:pPr>
        <w:spacing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ООО «Серый фургон» и ООО «Доска и клей» заключают рамочный договор о перевозках.</w:t>
      </w:r>
    </w:p>
    <w:p>
      <w:pPr>
        <w:spacing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Цена перевозок в настоящем документе твёрдой суммой не закрепляется и будет указана в отдельных заявках.</w:t>
      </w:r>
    </w:p>
    <w:p>
      <w:pPr>
        <w:spacing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Предмет ограничивается согласованием порядка будущих рейсов.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Заявки стороны оформляют по мере появления груза.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Рамочный договор</dc:title>
  <dc:subject/>
  <dc:creator>Савва Иртышев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