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0" w:line="312" w:lineRule="auto"/>
        <w:jc w:val="center"/>
      </w:pPr>
      <w:r>
        <w:rPr>
          <w:rFonts w:ascii="Gill Sans" w:hAnsi="Gill Sans" w:cs="Gill Sans" w:eastAsia="Gill Sans"/>
          <w:b w:val="0"/>
          <w:i w:val="0"/>
          <w:sz w:val="28"/>
          <w:lang w:val="ru-RU" w:eastAsia="ru-RU" w:bidi="ru-RU"/>
        </w:rPr>
        <w:t>Мастерская «Ключ у порога» чинит технику жильцам дома «Кедровый» и зарабатывает на этих выездах. Деньги нужны на оборудование. Выручка 400 000 руб. в месяц. До первых поступлений 0 месяцев.</w:t>
      </w:r>
    </w:p>
    <w:sectPr w:rsidR="00FC693F" w:rsidRPr="0006063C" w:rsidSect="00034616">
      <w:pgSz w:w="11906" w:h="16838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ill Sans" w:hAnsi="Gill Sans" w:cs="Gill Sans" w:eastAsia="Gill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Короткая записка</dc:title>
  <dc:subject/>
  <dc:creator>Мирон Янцев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