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  <w:jc w:val="left"/>
      </w:pPr>
      <w:r>
        <w:rPr>
          <w:rFonts w:ascii="Avenir" w:hAnsi="Avenir" w:cs="Avenir" w:eastAsia="Avenir"/>
          <w:b w:val="0"/>
          <w:i w:val="0"/>
          <w:sz w:val="26"/>
          <w:lang w:val="ru-RU" w:eastAsia="ru-RU" w:bidi="ru-RU"/>
        </w:rPr>
        <w:t>Короче, дело у нас городское и обычное вобще, я так это вижу. До первых денег ещё 2 месяца. На запуск денги и нужнны, остально сам допишу када время будет.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 w:cs="Avenir" w:eastAsia="Avenir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есть</dc:title>
  <dc:subject/>
  <dc:creator>Глеб Ракитин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