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показатели за месяц</w:t>
      </w:r>
    </w:p>
    <w:p>
      <w:pPr>
        <w:spacing w:before="0" w:after="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выручка | 400000</w:t>
      </w:r>
    </w:p>
    <w:p>
      <w:pPr>
        <w:spacing w:before="0" w:after="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расходы | 360000</w:t>
      </w:r>
    </w:p>
    <w:p>
      <w:pPr>
        <w:spacing w:before="0" w:after="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доля расходов | 0.90</w:t>
      </w:r>
    </w:p>
    <w:p>
      <w:pPr>
        <w:spacing w:before="0" w:after="0"/>
        <w:jc w:val="left"/>
      </w:pPr>
      <w:r>
        <w:rPr>
          <w:rFonts w:ascii="Courier New" w:hAnsi="Courier New" w:cs="Courier New" w:eastAsia="Courier New"/>
          <w:b w:val="0"/>
          <w:i w:val="0"/>
          <w:sz w:val="24"/>
          <w:lang w:val="ru-RU" w:eastAsia="ru-RU" w:bidi="ru-RU"/>
        </w:rPr>
        <w:t>месяцы до потока | 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cs="Courier New" w:eastAsia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Строки показателей</dc:title>
  <dc:subject/>
  <dc:creator>Эмма Шилова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