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F8E3A" w14:textId="42B4EFE4" w:rsidR="00B60AD3" w:rsidRDefault="00E53F5D" w:rsidP="00683794">
      <w:pPr>
        <w:pStyle w:val="afc"/>
      </w:pPr>
      <w:r>
        <w:rPr>
          <w:rFonts w:hint="eastAsia"/>
        </w:rPr>
        <w:t>黄金价格时间序列分析</w:t>
      </w:r>
    </w:p>
    <w:p w14:paraId="0D4E485A" w14:textId="6624222B" w:rsidR="00921234" w:rsidRPr="00921234" w:rsidRDefault="00921234" w:rsidP="00921234">
      <w:pPr>
        <w:jc w:val="center"/>
      </w:pPr>
      <w:r>
        <w:rPr>
          <w:rFonts w:hint="eastAsia"/>
        </w:rPr>
        <w:t>辛柏嬴</w:t>
      </w:r>
      <w:r>
        <w:rPr>
          <w:rFonts w:hint="eastAsia"/>
        </w:rPr>
        <w:t xml:space="preserve"> </w:t>
      </w:r>
      <w:r>
        <w:t>2020111753</w:t>
      </w:r>
    </w:p>
    <w:p w14:paraId="7FD4F831" w14:textId="0CAFEA21" w:rsidR="00683794" w:rsidRDefault="00683794" w:rsidP="00683794">
      <w:pPr>
        <w:pStyle w:val="a"/>
      </w:pPr>
      <w:commentRangeStart w:id="0"/>
      <w:r>
        <w:rPr>
          <w:rFonts w:hint="eastAsia"/>
        </w:rPr>
        <w:t>案例背景</w:t>
      </w:r>
      <w:commentRangeEnd w:id="0"/>
      <w:r w:rsidR="00F715CA">
        <w:rPr>
          <w:rStyle w:val="aff0"/>
          <w:rFonts w:asciiTheme="minorHAnsi" w:eastAsiaTheme="minorEastAsia" w:hAnsiTheme="minorHAnsi"/>
          <w:b w:val="0"/>
          <w:bCs w:val="0"/>
        </w:rPr>
        <w:commentReference w:id="0"/>
      </w:r>
    </w:p>
    <w:p w14:paraId="2F10C7A6" w14:textId="75BBF7F7" w:rsidR="004655F6" w:rsidRDefault="00F85692" w:rsidP="004655F6">
      <w:pPr>
        <w:pStyle w:val="afa"/>
        <w:ind w:firstLine="480"/>
      </w:pPr>
      <w:r>
        <w:rPr>
          <w:rFonts w:hint="eastAsia"/>
        </w:rPr>
        <w:t>黄金是一种历史悠久的贵金属，自古代即被人类开采用作货币、装饰等多个方面。在现代金融市场中，黄金作为一种特殊的商品，也起到了举足轻重的作用</w:t>
      </w:r>
      <w:r w:rsidR="004C0776">
        <w:rPr>
          <w:rFonts w:hint="eastAsia"/>
        </w:rPr>
        <w:t>。</w:t>
      </w:r>
      <w:r w:rsidR="00E01028">
        <w:rPr>
          <w:rFonts w:hint="eastAsia"/>
        </w:rPr>
        <w:t>黄金本身具有的稀缺性和稳定的物理性质等，使其逐渐成为公认的避险资产</w:t>
      </w:r>
      <w:r w:rsidR="004655F6">
        <w:fldChar w:fldCharType="begin"/>
      </w:r>
      <w:r w:rsidR="004655F6">
        <w:instrText xml:space="preserve"> ADDIN EN.CITE &lt;EndNote&gt;&lt;Cite&gt;&lt;Author&gt;Baur&lt;/Author&gt;&lt;Year&gt;2010&lt;/Year&gt;&lt;RecNum&gt;109&lt;/RecNum&gt;&lt;DisplayText&gt;&lt;style face="superscript"&gt;[1]&lt;/style&gt;&lt;/DisplayText&gt;&lt;record&gt;&lt;rec-number&gt;109&lt;/rec-number&gt;&lt;foreign-keys&gt;&lt;key app="EN" db-id="d0wsfd2xixzax2e2097vvvwxz2wzwfpw9z5v" timestamp="1683450132"&gt;109&lt;/key&gt;&lt;/foreign-keys&gt;&lt;ref-type name="Journal Article"&gt;17&lt;/ref-type&gt;&lt;contributors&gt;&lt;authors&gt;&lt;author&gt;Baur, Dirk G.&lt;/author&gt;&lt;author&gt;Lucey, Brian M.&lt;/author&gt;&lt;/authors&gt;&lt;/contributors&gt;&lt;titles&gt;&lt;title&gt;Is Gold a Hedge or a Safe Haven? An Analysis of Stocks, Bonds and Gold&lt;/title&gt;&lt;secondary-title&gt;Financial Review&lt;/secondary-title&gt;&lt;/titles&gt;&lt;periodical&gt;&lt;full-title&gt;Financial Review&lt;/full-title&gt;&lt;/periodical&gt;&lt;pages&gt;217-229&lt;/pages&gt;&lt;volume&gt;45&lt;/volume&gt;&lt;number&gt;2&lt;/number&gt;&lt;dates&gt;&lt;year&gt;2010&lt;/year&gt;&lt;/dates&gt;&lt;isbn&gt;0732-8516&lt;/isbn&gt;&lt;urls&gt;&lt;related-urls&gt;&lt;url&gt;https://onlinelibrary.wiley.com/doi/abs/10.1111/j.1540-6288.2010.00244.x&lt;/url&gt;&lt;/related-urls&gt;&lt;/urls&gt;&lt;electronic-resource-num&gt;https://doi.org/10.1111/j.1540-6288.2010.00244.x&lt;/electronic-resource-num&gt;&lt;/record&gt;&lt;/Cite&gt;&lt;/EndNote&gt;</w:instrText>
      </w:r>
      <w:r w:rsidR="004655F6">
        <w:fldChar w:fldCharType="separate"/>
      </w:r>
      <w:r w:rsidR="004655F6" w:rsidRPr="004655F6">
        <w:rPr>
          <w:noProof/>
          <w:vertAlign w:val="superscript"/>
        </w:rPr>
        <w:t>[1]</w:t>
      </w:r>
      <w:r w:rsidR="004655F6">
        <w:fldChar w:fldCharType="end"/>
      </w:r>
      <w:r w:rsidR="00E01028">
        <w:rPr>
          <w:rFonts w:hint="eastAsia"/>
        </w:rPr>
        <w:t>。其价格也随着国际政治形势、经济情况等外部情况发生着不同情况的波动。</w:t>
      </w:r>
      <w:r w:rsidR="00561C3D">
        <w:rPr>
          <w:rFonts w:hint="eastAsia"/>
        </w:rPr>
        <w:t>还有部分投机交易者利用黄金价格的波动特性进行投机交易，以赚取价差、获得利润。</w:t>
      </w:r>
      <w:r w:rsidR="003E7B53">
        <w:rPr>
          <w:rFonts w:hint="eastAsia"/>
        </w:rPr>
        <w:t>总的而言，黄金在金融市场中发挥着重要的作用，既可以作为一种价值稳定的资产抵抗风险，但同时也可以作为投机性交易和投资组合多元化的</w:t>
      </w:r>
      <w:r w:rsidR="0043185E">
        <w:rPr>
          <w:rFonts w:hint="eastAsia"/>
        </w:rPr>
        <w:t>重要部分</w:t>
      </w:r>
      <w:r w:rsidR="003E7B53">
        <w:rPr>
          <w:rFonts w:hint="eastAsia"/>
        </w:rPr>
        <w:t>。</w:t>
      </w:r>
    </w:p>
    <w:p w14:paraId="232AD8BB" w14:textId="1E6FF528" w:rsidR="004655F6" w:rsidRDefault="004655F6" w:rsidP="004655F6">
      <w:pPr>
        <w:pStyle w:val="afa"/>
        <w:ind w:firstLine="480"/>
      </w:pPr>
      <w:r>
        <w:rPr>
          <w:rFonts w:hint="eastAsia"/>
        </w:rPr>
        <w:t>具体而言，本报告中以</w:t>
      </w:r>
      <w:r>
        <w:rPr>
          <w:rFonts w:hint="eastAsia"/>
        </w:rPr>
        <w:t>AU</w:t>
      </w:r>
      <w:r>
        <w:t>9999</w:t>
      </w:r>
      <w:r>
        <w:rPr>
          <w:rFonts w:hint="eastAsia"/>
        </w:rPr>
        <w:t>黄金作为主要研究对象。</w:t>
      </w:r>
      <w:r>
        <w:rPr>
          <w:rFonts w:hint="eastAsia"/>
        </w:rPr>
        <w:t>AU</w:t>
      </w:r>
      <w:r>
        <w:t>9999</w:t>
      </w:r>
      <w:r>
        <w:rPr>
          <w:rFonts w:hint="eastAsia"/>
        </w:rPr>
        <w:t>为一种质量极高的黄金，其含金量可达</w:t>
      </w:r>
      <w:r>
        <w:rPr>
          <w:rFonts w:hint="eastAsia"/>
        </w:rPr>
        <w:t>9</w:t>
      </w:r>
      <w:r>
        <w:t>9.99%</w:t>
      </w:r>
      <w:r>
        <w:rPr>
          <w:rFonts w:hint="eastAsia"/>
        </w:rPr>
        <w:t>。也由于其较高的纯度，因此相比其它类型的黄金价格也会相对更高。</w:t>
      </w:r>
    </w:p>
    <w:p w14:paraId="14532BEA" w14:textId="1E840FAD" w:rsidR="007A206F" w:rsidRDefault="007A206F" w:rsidP="004655F6">
      <w:pPr>
        <w:pStyle w:val="afa"/>
        <w:ind w:firstLine="480"/>
        <w:rPr>
          <w:rFonts w:hint="eastAsia"/>
        </w:rPr>
      </w:pPr>
      <w:r>
        <w:rPr>
          <w:rFonts w:hint="eastAsia"/>
        </w:rPr>
        <w:t>此外，本报告中除了关注该金融资产的资产价格外，对于其价格的波动率也是研究的重点。这是因为波动率良好地刻画了</w:t>
      </w:r>
      <w:r w:rsidR="00974D80">
        <w:rPr>
          <w:rFonts w:hint="eastAsia"/>
        </w:rPr>
        <w:t>金融市场中</w:t>
      </w:r>
      <w:r>
        <w:rPr>
          <w:rFonts w:hint="eastAsia"/>
        </w:rPr>
        <w:t>某项资产风险的大小</w:t>
      </w:r>
      <w:r w:rsidR="00780F6A">
        <w:rPr>
          <w:rFonts w:hint="eastAsia"/>
        </w:rPr>
        <w:t>，是对期权等多种金融衍生品定价的重要因素。此外其对于在险价值（</w:t>
      </w:r>
      <w:r w:rsidR="00780F6A">
        <w:rPr>
          <w:rFonts w:hint="eastAsia"/>
        </w:rPr>
        <w:t>VaR</w:t>
      </w:r>
      <w:r w:rsidR="00780F6A">
        <w:rPr>
          <w:rFonts w:hint="eastAsia"/>
        </w:rPr>
        <w:t>）等的定量研究也有</w:t>
      </w:r>
      <w:r w:rsidR="00CA46FF">
        <w:rPr>
          <w:rFonts w:hint="eastAsia"/>
        </w:rPr>
        <w:t>重要的作用。</w:t>
      </w:r>
      <w:r w:rsidR="00B979DA">
        <w:rPr>
          <w:rFonts w:hint="eastAsia"/>
        </w:rPr>
        <w:t>在一些衍生品市场中，例如</w:t>
      </w:r>
      <w:r w:rsidR="00B979DA">
        <w:rPr>
          <w:rFonts w:hint="eastAsia"/>
        </w:rPr>
        <w:t>CBOE</w:t>
      </w:r>
      <w:r w:rsidR="00B979DA">
        <w:rPr>
          <w:rFonts w:hint="eastAsia"/>
        </w:rPr>
        <w:t>（</w:t>
      </w:r>
      <w:r w:rsidR="00B979DA">
        <w:rPr>
          <w:rFonts w:hint="eastAsia"/>
        </w:rPr>
        <w:t>Chicago</w:t>
      </w:r>
      <w:r w:rsidR="00B979DA">
        <w:t xml:space="preserve"> </w:t>
      </w:r>
      <w:r w:rsidR="00B979DA">
        <w:rPr>
          <w:rFonts w:hint="eastAsia"/>
        </w:rPr>
        <w:t>Board</w:t>
      </w:r>
      <w:r w:rsidR="00B979DA">
        <w:t xml:space="preserve"> </w:t>
      </w:r>
      <w:r w:rsidR="00B979DA">
        <w:rPr>
          <w:rFonts w:hint="eastAsia"/>
        </w:rPr>
        <w:t>of</w:t>
      </w:r>
      <w:r w:rsidR="00B979DA">
        <w:t xml:space="preserve"> </w:t>
      </w:r>
      <w:r w:rsidR="00B979DA">
        <w:rPr>
          <w:rFonts w:hint="eastAsia"/>
        </w:rPr>
        <w:t>Option</w:t>
      </w:r>
      <w:r w:rsidR="00B979DA">
        <w:t xml:space="preserve"> </w:t>
      </w:r>
      <w:r w:rsidR="00B979DA">
        <w:rPr>
          <w:rFonts w:hint="eastAsia"/>
        </w:rPr>
        <w:t>Exchange</w:t>
      </w:r>
      <w:r w:rsidR="00B979DA">
        <w:rPr>
          <w:rFonts w:hint="eastAsia"/>
        </w:rPr>
        <w:t>），波动率已经成为一种可以交易的期货产品</w:t>
      </w:r>
      <w:r w:rsidR="0088612B">
        <w:fldChar w:fldCharType="begin"/>
      </w:r>
      <w:r w:rsidR="0088612B">
        <w:instrText xml:space="preserve"> ADDIN EN.CITE &lt;EndNote&gt;&lt;Cite&gt;&lt;Author&gt;Hull&lt;/Author&gt;&lt;Year&gt;2023&lt;/Year&gt;&lt;RecNum&gt;110&lt;/RecNum&gt;&lt;DisplayText&gt;&lt;style face="superscript"&gt;[2]&lt;/style&gt;&lt;/DisplayText&gt;&lt;record&gt;&lt;rec-number&gt;110&lt;/rec-number&gt;&lt;foreign-keys&gt;&lt;key app="EN" db-id="d0wsfd2xixzax2e2097vvvwxz2wzwfpw9z5v" timestamp="1683452549"&gt;110&lt;/key&gt;&lt;/foreign-keys&gt;&lt;ref-type name="Book"&gt;6&lt;/ref-type&gt;&lt;contributors&gt;&lt;authors&gt;&lt;author&gt;John C. Hull&lt;/author&gt;&lt;/authors&gt;&lt;/contributors&gt;&lt;titles&gt;&lt;title&gt;Risk Management and Financial Institutions&lt;/title&gt;&lt;/titles&gt;&lt;edition&gt;6th Edition&lt;/edition&gt;&lt;section&gt;832&lt;/section&gt;&lt;dates&gt;&lt;year&gt;2023&lt;/year&gt;&lt;/dates&gt;&lt;isbn&gt;978-1-119-93248-2&lt;/isbn&gt;&lt;urls&gt;&lt;/urls&gt;&lt;/record&gt;&lt;/Cite&gt;&lt;/EndNote&gt;</w:instrText>
      </w:r>
      <w:r w:rsidR="0088612B">
        <w:fldChar w:fldCharType="separate"/>
      </w:r>
      <w:r w:rsidR="0088612B" w:rsidRPr="0088612B">
        <w:rPr>
          <w:noProof/>
          <w:vertAlign w:val="superscript"/>
        </w:rPr>
        <w:t>[2]</w:t>
      </w:r>
      <w:r w:rsidR="0088612B">
        <w:fldChar w:fldCharType="end"/>
      </w:r>
      <w:r w:rsidR="00B979DA">
        <w:rPr>
          <w:rFonts w:hint="eastAsia"/>
        </w:rPr>
        <w:t>。</w:t>
      </w:r>
    </w:p>
    <w:p w14:paraId="7B64CC35" w14:textId="1DCE74F1" w:rsidR="00683794" w:rsidRDefault="00683794" w:rsidP="00683794">
      <w:pPr>
        <w:pStyle w:val="a"/>
      </w:pPr>
      <w:r>
        <w:rPr>
          <w:rFonts w:hint="eastAsia"/>
        </w:rPr>
        <w:t>数据介绍与描述性统计</w:t>
      </w:r>
    </w:p>
    <w:p w14:paraId="059D9EE3" w14:textId="66B28AE8" w:rsidR="00683794" w:rsidRDefault="00683794" w:rsidP="00683794">
      <w:pPr>
        <w:pStyle w:val="a0"/>
      </w:pPr>
      <w:r>
        <w:rPr>
          <w:rFonts w:hint="eastAsia"/>
        </w:rPr>
        <w:t>数据获取与说明</w:t>
      </w:r>
    </w:p>
    <w:p w14:paraId="6005ADC3" w14:textId="1AA03E1A" w:rsidR="00240F6B" w:rsidRDefault="00240F6B" w:rsidP="00240F6B">
      <w:pPr>
        <w:pStyle w:val="afa"/>
        <w:ind w:firstLine="480"/>
      </w:pPr>
      <w:r>
        <w:rPr>
          <w:rFonts w:hint="eastAsia"/>
        </w:rPr>
        <w:t>本报告数据</w:t>
      </w:r>
      <w:r>
        <w:rPr>
          <w:rFonts w:ascii="Cambria" w:hAnsi="Cambria" w:cs="Cambria" w:hint="eastAsia"/>
        </w:rPr>
        <w:t>由</w:t>
      </w:r>
      <w:r w:rsidRPr="00240F6B">
        <w:rPr>
          <w:rFonts w:hint="eastAsia"/>
        </w:rPr>
        <w:t>CSMAR</w:t>
      </w:r>
      <w:r w:rsidRPr="00240F6B">
        <w:rPr>
          <w:rFonts w:hint="eastAsia"/>
        </w:rPr>
        <w:t>数据库（</w:t>
      </w:r>
      <w:r w:rsidRPr="00240F6B">
        <w:rPr>
          <w:rFonts w:hint="eastAsia"/>
        </w:rPr>
        <w:t>China Stock Market &amp; Accounting Research Database</w:t>
      </w:r>
      <w:r>
        <w:t xml:space="preserve">, </w:t>
      </w:r>
      <w:r w:rsidR="00C215C1" w:rsidRPr="00C215C1">
        <w:t>http://cndata1.csmar.com/</w:t>
      </w:r>
      <w:r w:rsidR="00C215C1" w:rsidRPr="00C215C1">
        <w:rPr>
          <w:rFonts w:hint="eastAsia"/>
        </w:rPr>
        <w:t>）整理提</w:t>
      </w:r>
      <w:r w:rsidR="00C215C1" w:rsidRPr="00C215C1">
        <w:rPr>
          <w:rFonts w:hint="eastAsia"/>
        </w:rPr>
        <w:t>供</w:t>
      </w:r>
      <w:r w:rsidR="00C215C1" w:rsidRPr="00C215C1">
        <w:rPr>
          <w:rFonts w:hint="eastAsia"/>
        </w:rPr>
        <w:t>。数据内容为</w:t>
      </w:r>
      <w:r w:rsidR="00C215C1" w:rsidRPr="00C215C1">
        <w:t>2002</w:t>
      </w:r>
      <w:r w:rsidR="00C215C1" w:rsidRPr="00C215C1">
        <w:rPr>
          <w:rFonts w:hint="eastAsia"/>
        </w:rPr>
        <w:t>年</w:t>
      </w:r>
      <w:r w:rsidR="00C215C1" w:rsidRPr="00C215C1">
        <w:rPr>
          <w:rFonts w:hint="eastAsia"/>
        </w:rPr>
        <w:t>1</w:t>
      </w:r>
      <w:r w:rsidR="00C215C1" w:rsidRPr="00C215C1">
        <w:t>0</w:t>
      </w:r>
      <w:r w:rsidR="00C215C1" w:rsidRPr="00C215C1">
        <w:rPr>
          <w:rFonts w:hint="eastAsia"/>
        </w:rPr>
        <w:t>月到</w:t>
      </w:r>
      <w:r w:rsidR="00C215C1" w:rsidRPr="00C215C1">
        <w:rPr>
          <w:rFonts w:hint="eastAsia"/>
        </w:rPr>
        <w:t>2</w:t>
      </w:r>
      <w:r w:rsidR="00C215C1" w:rsidRPr="00C215C1">
        <w:t>023</w:t>
      </w:r>
      <w:r w:rsidR="00C215C1" w:rsidRPr="00C215C1">
        <w:rPr>
          <w:rFonts w:hint="eastAsia"/>
        </w:rPr>
        <w:t>年</w:t>
      </w:r>
      <w:r w:rsidR="00C215C1" w:rsidRPr="00C215C1">
        <w:rPr>
          <w:rFonts w:hint="eastAsia"/>
        </w:rPr>
        <w:t>5</w:t>
      </w:r>
      <w:r w:rsidR="00C215C1">
        <w:rPr>
          <w:rFonts w:hint="eastAsia"/>
        </w:rPr>
        <w:t>月</w:t>
      </w:r>
      <w:r>
        <w:rPr>
          <w:rFonts w:hint="eastAsia"/>
        </w:rPr>
        <w:t>上海黄金及贵重金属</w:t>
      </w:r>
      <w:r w:rsidR="00C215C1">
        <w:rPr>
          <w:rFonts w:hint="eastAsia"/>
        </w:rPr>
        <w:t>交易市场中</w:t>
      </w:r>
      <w:r w:rsidR="00C215C1">
        <w:rPr>
          <w:rFonts w:hint="eastAsia"/>
        </w:rPr>
        <w:t>A</w:t>
      </w:r>
      <w:r>
        <w:rPr>
          <w:rFonts w:hint="eastAsia"/>
        </w:rPr>
        <w:t>U</w:t>
      </w:r>
      <w:r>
        <w:t>9999</w:t>
      </w:r>
      <w:r>
        <w:rPr>
          <w:rFonts w:hint="eastAsia"/>
        </w:rPr>
        <w:t>黄金</w:t>
      </w:r>
      <w:r w:rsidR="00C215C1">
        <w:rPr>
          <w:rFonts w:hint="eastAsia"/>
        </w:rPr>
        <w:t>月</w:t>
      </w:r>
      <w:r>
        <w:rPr>
          <w:rFonts w:hint="eastAsia"/>
        </w:rPr>
        <w:t>收盘价</w:t>
      </w:r>
      <w:r w:rsidR="006C3401">
        <w:rPr>
          <w:rFonts w:hint="eastAsia"/>
        </w:rPr>
        <w:t>（单位元</w:t>
      </w:r>
      <w:r w:rsidR="006C3401">
        <w:rPr>
          <w:rFonts w:hint="eastAsia"/>
        </w:rPr>
        <w:t>/</w:t>
      </w:r>
      <w:r w:rsidR="006C3401">
        <w:rPr>
          <w:rFonts w:hint="eastAsia"/>
        </w:rPr>
        <w:t>克）</w:t>
      </w:r>
      <w:r>
        <w:rPr>
          <w:rFonts w:hint="eastAsia"/>
        </w:rPr>
        <w:t>。</w:t>
      </w:r>
      <w:r w:rsidR="00C215C1">
        <w:rPr>
          <w:rFonts w:hint="eastAsia"/>
        </w:rPr>
        <w:t>数据总计</w:t>
      </w:r>
      <w:r w:rsidR="00C215C1">
        <w:rPr>
          <w:rFonts w:hint="eastAsia"/>
        </w:rPr>
        <w:t>2</w:t>
      </w:r>
      <w:r w:rsidR="00C215C1">
        <w:t>48</w:t>
      </w:r>
      <w:r w:rsidR="00C215C1">
        <w:rPr>
          <w:rFonts w:hint="eastAsia"/>
        </w:rPr>
        <w:t>条，无缺失值或异常值。</w:t>
      </w:r>
    </w:p>
    <w:p w14:paraId="79744068" w14:textId="1C1919D9" w:rsidR="00824E44" w:rsidRPr="00240F6B" w:rsidRDefault="00C01657" w:rsidP="00824E44">
      <w:pPr>
        <w:pStyle w:val="afa"/>
        <w:ind w:firstLine="480"/>
        <w:rPr>
          <w:rFonts w:hint="eastAsia"/>
        </w:rPr>
      </w:pPr>
      <w:r>
        <w:rPr>
          <w:rFonts w:hint="eastAsia"/>
        </w:rPr>
        <w:t>在本报告中，预留了最后</w:t>
      </w:r>
      <w:r>
        <w:rPr>
          <w:rFonts w:hint="eastAsia"/>
        </w:rPr>
        <w:t>3</w:t>
      </w:r>
      <w:r>
        <w:rPr>
          <w:rFonts w:hint="eastAsia"/>
        </w:rPr>
        <w:t>期的数据作为外样本，其余</w:t>
      </w:r>
      <w:r>
        <w:rPr>
          <w:rFonts w:hint="eastAsia"/>
        </w:rPr>
        <w:t>2</w:t>
      </w:r>
      <w:r>
        <w:t>45</w:t>
      </w:r>
      <w:r>
        <w:rPr>
          <w:rFonts w:hint="eastAsia"/>
        </w:rPr>
        <w:t>条作为内样本对模型进行拟合。</w:t>
      </w:r>
    </w:p>
    <w:p w14:paraId="7A293A26" w14:textId="3A3AA3E3" w:rsidR="00683794" w:rsidRDefault="00683794" w:rsidP="00683794">
      <w:pPr>
        <w:pStyle w:val="a0"/>
      </w:pPr>
      <w:r>
        <w:rPr>
          <w:rFonts w:hint="eastAsia"/>
        </w:rPr>
        <w:t>描述性数据分析</w:t>
      </w:r>
    </w:p>
    <w:p w14:paraId="6D01C032" w14:textId="77777777" w:rsidR="00084412" w:rsidRDefault="006146FF" w:rsidP="00084412">
      <w:pPr>
        <w:pStyle w:val="afa"/>
        <w:ind w:firstLine="480"/>
      </w:pPr>
      <w:r>
        <w:rPr>
          <w:rFonts w:hint="eastAsia"/>
        </w:rPr>
        <w:t>由下图</w:t>
      </w:r>
      <w:r>
        <w:rPr>
          <w:rFonts w:hint="eastAsia"/>
        </w:rPr>
        <w:t>1</w:t>
      </w:r>
      <w:r>
        <w:rPr>
          <w:rFonts w:hint="eastAsia"/>
        </w:rPr>
        <w:t>的时序图中可见，整体而言</w:t>
      </w:r>
      <w:r>
        <w:rPr>
          <w:rFonts w:hint="eastAsia"/>
        </w:rPr>
        <w:t>AU</w:t>
      </w:r>
      <w:r>
        <w:t>9999</w:t>
      </w:r>
      <w:r>
        <w:rPr>
          <w:rFonts w:hint="eastAsia"/>
        </w:rPr>
        <w:t>黄金（下简称黄金）</w:t>
      </w:r>
      <w:r w:rsidR="006C3401">
        <w:rPr>
          <w:rFonts w:hint="eastAsia"/>
        </w:rPr>
        <w:t>价格自</w:t>
      </w:r>
      <w:r w:rsidR="006C3401">
        <w:rPr>
          <w:rFonts w:hint="eastAsia"/>
        </w:rPr>
        <w:t>2</w:t>
      </w:r>
      <w:r w:rsidR="006C3401">
        <w:t>002</w:t>
      </w:r>
      <w:r w:rsidR="006C3401">
        <w:rPr>
          <w:rFonts w:hint="eastAsia"/>
        </w:rPr>
        <w:t>年至约</w:t>
      </w:r>
      <w:r w:rsidR="006C3401">
        <w:rPr>
          <w:rFonts w:hint="eastAsia"/>
        </w:rPr>
        <w:t>2</w:t>
      </w:r>
      <w:r w:rsidR="006C3401">
        <w:t>01</w:t>
      </w:r>
      <w:r w:rsidR="00C802F6">
        <w:t>2</w:t>
      </w:r>
      <w:r w:rsidR="006C3401">
        <w:rPr>
          <w:rFonts w:hint="eastAsia"/>
        </w:rPr>
        <w:t>年呈现波动上升趋势，最高</w:t>
      </w:r>
      <w:r w:rsidR="00C802F6">
        <w:rPr>
          <w:rFonts w:hint="eastAsia"/>
        </w:rPr>
        <w:t>达</w:t>
      </w:r>
      <w:r w:rsidR="00C802F6">
        <w:rPr>
          <w:rFonts w:hint="eastAsia"/>
        </w:rPr>
        <w:t>3</w:t>
      </w:r>
      <w:r w:rsidR="00C802F6">
        <w:t>61</w:t>
      </w:r>
      <w:r w:rsidR="00C802F6">
        <w:rPr>
          <w:rFonts w:hint="eastAsia"/>
        </w:rPr>
        <w:t>元。后价格有所回落，在</w:t>
      </w:r>
      <w:r w:rsidR="00C802F6">
        <w:rPr>
          <w:rFonts w:hint="eastAsia"/>
        </w:rPr>
        <w:t>2</w:t>
      </w:r>
      <w:r w:rsidR="00C802F6">
        <w:t>60</w:t>
      </w:r>
      <w:r w:rsidR="00C802F6">
        <w:rPr>
          <w:rFonts w:hint="eastAsia"/>
        </w:rPr>
        <w:t>元区间左右上下波动。在</w:t>
      </w:r>
      <w:r w:rsidR="00C802F6">
        <w:rPr>
          <w:rFonts w:hint="eastAsia"/>
        </w:rPr>
        <w:t>2</w:t>
      </w:r>
      <w:r w:rsidR="00C802F6">
        <w:t>019</w:t>
      </w:r>
      <w:r w:rsidR="00C802F6">
        <w:rPr>
          <w:rFonts w:hint="eastAsia"/>
        </w:rPr>
        <w:t>年末黄金价格开始</w:t>
      </w:r>
      <w:r w:rsidR="00995F62">
        <w:rPr>
          <w:rFonts w:hint="eastAsia"/>
        </w:rPr>
        <w:t>由于新冠疫情等因素冲击</w:t>
      </w:r>
      <w:r w:rsidR="00C802F6">
        <w:rPr>
          <w:rFonts w:hint="eastAsia"/>
        </w:rPr>
        <w:t>第二次高升，最高点在</w:t>
      </w:r>
      <w:r w:rsidR="00C802F6">
        <w:rPr>
          <w:rFonts w:hint="eastAsia"/>
        </w:rPr>
        <w:lastRenderedPageBreak/>
        <w:t>2</w:t>
      </w:r>
      <w:r w:rsidR="00C802F6">
        <w:t>020</w:t>
      </w:r>
      <w:r w:rsidR="00C802F6">
        <w:rPr>
          <w:rFonts w:hint="eastAsia"/>
        </w:rPr>
        <w:t>年</w:t>
      </w:r>
      <w:r w:rsidR="00C802F6">
        <w:rPr>
          <w:rFonts w:hint="eastAsia"/>
        </w:rPr>
        <w:t>7</w:t>
      </w:r>
      <w:r w:rsidR="00C802F6">
        <w:rPr>
          <w:rFonts w:hint="eastAsia"/>
        </w:rPr>
        <w:t>月份达</w:t>
      </w:r>
      <w:r w:rsidR="00C802F6">
        <w:rPr>
          <w:rFonts w:hint="eastAsia"/>
        </w:rPr>
        <w:t>4</w:t>
      </w:r>
      <w:r w:rsidR="00C802F6">
        <w:t>28.97</w:t>
      </w:r>
      <w:r w:rsidR="00C802F6">
        <w:rPr>
          <w:rFonts w:hint="eastAsia"/>
        </w:rPr>
        <w:t>元。尽管随后有所下降，但</w:t>
      </w:r>
      <w:r w:rsidR="00995F62">
        <w:rPr>
          <w:rFonts w:hint="eastAsia"/>
        </w:rPr>
        <w:t>目前</w:t>
      </w:r>
      <w:r w:rsidR="00C802F6">
        <w:rPr>
          <w:rFonts w:hint="eastAsia"/>
        </w:rPr>
        <w:t>依然保持在了历史高位水平。</w:t>
      </w:r>
    </w:p>
    <w:p w14:paraId="40C607BF" w14:textId="77373D8A" w:rsidR="006146FF" w:rsidRDefault="006146FF" w:rsidP="00084412">
      <w:pPr>
        <w:pStyle w:val="afa"/>
        <w:spacing w:line="240" w:lineRule="auto"/>
        <w:ind w:firstLineChars="0" w:firstLine="0"/>
        <w:jc w:val="center"/>
      </w:pPr>
      <w:r w:rsidRPr="006146FF">
        <w:drawing>
          <wp:inline distT="0" distB="0" distL="0" distR="0" wp14:anchorId="38DDC25E" wp14:editId="0D012284">
            <wp:extent cx="5003800" cy="2400300"/>
            <wp:effectExtent l="0" t="0" r="0" b="0"/>
            <wp:docPr id="1576493568" name="图片 1" descr="图表, 折线图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93568" name="图片 1" descr="图表, 折线图, 散点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2399" w14:textId="4D354C16" w:rsidR="006146FF" w:rsidRDefault="006146FF" w:rsidP="006146FF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黄金价格时序图</w:t>
      </w:r>
    </w:p>
    <w:p w14:paraId="22A4E4A9" w14:textId="77777777" w:rsidR="00084412" w:rsidRPr="00084412" w:rsidRDefault="00084412" w:rsidP="00084412">
      <w:pPr>
        <w:rPr>
          <w:rFonts w:hint="eastAsia"/>
        </w:rPr>
      </w:pPr>
    </w:p>
    <w:p w14:paraId="50BA544C" w14:textId="12CC1E01" w:rsidR="004218A2" w:rsidRDefault="00974959" w:rsidP="004218A2">
      <w:pPr>
        <w:pStyle w:val="afa"/>
        <w:ind w:firstLine="480"/>
      </w:pPr>
      <w:r>
        <w:rPr>
          <w:rFonts w:hint="eastAsia"/>
        </w:rPr>
        <w:t>除价格之外，在上文的讨论中，我们还将重点关注该金融产的收益波动率。</w:t>
      </w:r>
      <w:r w:rsidR="004218A2">
        <w:rPr>
          <w:rFonts w:hint="eastAsia"/>
        </w:rPr>
        <w:t>首先给出资产（对数）收益的定义：若记资产</w:t>
      </w:r>
      <m:oMath>
        <m:r>
          <w:rPr>
            <w:rFonts w:ascii="Cambria Math" w:hAnsi="Cambria Math"/>
          </w:rPr>
          <m:t>t</m:t>
        </m:r>
      </m:oMath>
      <w:r w:rsidR="004218A2">
        <w:rPr>
          <w:rFonts w:hint="eastAsia"/>
        </w:rPr>
        <w:t>时刻的价格为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218A2">
        <w:rPr>
          <w:rFonts w:hint="eastAsia"/>
        </w:rPr>
        <w:t>，则相应的对数收益率为：</w:t>
      </w:r>
      <w:r w:rsidR="004218A2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func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br/>
          </m:r>
        </m:oMath>
      </m:oMathPara>
      <w:r w:rsidR="004218A2">
        <w:rPr>
          <w:rFonts w:hint="eastAsia"/>
        </w:rPr>
        <w:t>进一步，我们认为波动率即为收益率的条件标准差。</w:t>
      </w:r>
    </w:p>
    <w:p w14:paraId="77CDF9E0" w14:textId="0C99BB87" w:rsidR="00084412" w:rsidRDefault="00AF2556" w:rsidP="00084412">
      <w:pPr>
        <w:pStyle w:val="afa"/>
        <w:ind w:firstLine="480"/>
        <w:rPr>
          <w:rFonts w:hint="eastAsia"/>
        </w:rPr>
      </w:pPr>
      <w:r>
        <w:rPr>
          <w:rFonts w:hint="eastAsia"/>
        </w:rPr>
        <w:t>在图</w:t>
      </w:r>
      <w:r>
        <w:rPr>
          <w:rFonts w:hint="eastAsia"/>
        </w:rPr>
        <w:t>2</w:t>
      </w:r>
      <w:r>
        <w:rPr>
          <w:rFonts w:hint="eastAsia"/>
        </w:rPr>
        <w:t>～图</w:t>
      </w:r>
      <w:r>
        <w:rPr>
          <w:rFonts w:hint="eastAsia"/>
        </w:rPr>
        <w:t>4</w:t>
      </w:r>
      <w:r>
        <w:rPr>
          <w:rFonts w:hint="eastAsia"/>
        </w:rPr>
        <w:t>中，分别给出了黄金价格对数收益率的时序图、直方图及</w:t>
      </w:r>
      <w:r>
        <w:rPr>
          <w:rFonts w:hint="eastAsia"/>
        </w:rPr>
        <w:t>Q</w:t>
      </w:r>
      <w:r>
        <w:t>-</w:t>
      </w:r>
      <w:r>
        <w:rPr>
          <w:rFonts w:hint="eastAsia"/>
        </w:rPr>
        <w:t>Q</w:t>
      </w:r>
      <w:r>
        <w:rPr>
          <w:rFonts w:hint="eastAsia"/>
        </w:rPr>
        <w:t>图</w:t>
      </w:r>
      <w:r w:rsidR="00386AEB">
        <w:rPr>
          <w:rFonts w:hint="eastAsia"/>
        </w:rPr>
        <w:t>，如下所示。</w:t>
      </w:r>
      <w:r w:rsidR="00084412">
        <w:rPr>
          <w:rFonts w:hint="eastAsia"/>
        </w:rPr>
        <w:t>由图可见，整体而言经过对数、差分变换，序列基本呈现水平平稳，其波动的方差也基本在一定范围内进行。</w:t>
      </w:r>
      <w:r w:rsidR="0031021F">
        <w:rPr>
          <w:rFonts w:hint="eastAsia"/>
        </w:rPr>
        <w:t>但较为特殊的是，该对数收益序列有一定的分布集群特征，即序列的波动倾向于“扎堆”出现</w:t>
      </w:r>
      <w:r w:rsidR="005102FC">
        <w:rPr>
          <w:rFonts w:hint="eastAsia"/>
        </w:rPr>
        <w:t>，在历史波动较大时更倾向于出现波动率较大的变化，而在波动率较小的时期则更倾向于小范围的波动。</w:t>
      </w:r>
      <w:r w:rsidR="0078690E">
        <w:rPr>
          <w:rFonts w:hint="eastAsia"/>
        </w:rPr>
        <w:t>除此之外观察其分布状态，可以发现整体而言其分布基本形状依然是近似钟型的，均值水平在</w:t>
      </w:r>
      <w:r w:rsidR="0078690E">
        <w:rPr>
          <w:rFonts w:hint="eastAsia"/>
        </w:rPr>
        <w:t>0</w:t>
      </w:r>
      <w:r w:rsidR="0078690E">
        <w:rPr>
          <w:rFonts w:hint="eastAsia"/>
        </w:rPr>
        <w:t>左右。</w:t>
      </w:r>
      <w:r w:rsidR="004B7D40">
        <w:rPr>
          <w:rFonts w:hint="eastAsia"/>
        </w:rPr>
        <w:t>但需要关注极端收益（或极端损失）部分，由</w:t>
      </w:r>
      <w:r w:rsidR="004B7D40">
        <w:rPr>
          <w:rFonts w:hint="eastAsia"/>
        </w:rPr>
        <w:t>Q</w:t>
      </w:r>
      <w:r w:rsidR="004B7D40">
        <w:t>-</w:t>
      </w:r>
      <w:r w:rsidR="004B7D40">
        <w:rPr>
          <w:rFonts w:hint="eastAsia"/>
        </w:rPr>
        <w:t>Q</w:t>
      </w:r>
      <w:r w:rsidR="004B7D40">
        <w:rPr>
          <w:rFonts w:hint="eastAsia"/>
        </w:rPr>
        <w:t>图可见该对数收益率依然存在着一定的厚尾特征。这也符合常见金融资产的分布特性。</w:t>
      </w:r>
    </w:p>
    <w:p w14:paraId="425D091A" w14:textId="2342693F" w:rsidR="00084412" w:rsidRDefault="00084412" w:rsidP="00084412">
      <w:pPr>
        <w:pStyle w:val="afa"/>
        <w:keepNext/>
        <w:spacing w:line="240" w:lineRule="auto"/>
        <w:ind w:firstLineChars="0" w:firstLine="0"/>
        <w:jc w:val="center"/>
      </w:pPr>
      <w:r w:rsidRPr="00084412">
        <w:drawing>
          <wp:inline distT="0" distB="0" distL="0" distR="0" wp14:anchorId="5331E465" wp14:editId="3EA47839">
            <wp:extent cx="4967605" cy="2366128"/>
            <wp:effectExtent l="0" t="0" r="0" b="0"/>
            <wp:docPr id="67665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5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555" cy="23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50D" w14:textId="3F6D1EF9" w:rsidR="00084412" w:rsidRDefault="00084412" w:rsidP="00084412">
      <w:pPr>
        <w:pStyle w:val="a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黄金价格对数收益率时序图</w:t>
      </w:r>
    </w:p>
    <w:p w14:paraId="0A1C8EFE" w14:textId="77777777" w:rsidR="00084412" w:rsidRDefault="00084412" w:rsidP="00084412">
      <w:pPr>
        <w:keepNext/>
        <w:jc w:val="center"/>
        <w:rPr>
          <w:rFonts w:hint="eastAsia"/>
        </w:rPr>
      </w:pPr>
      <w:r w:rsidRPr="00084412">
        <w:lastRenderedPageBreak/>
        <w:drawing>
          <wp:inline distT="0" distB="0" distL="0" distR="0" wp14:anchorId="1836AF39" wp14:editId="04ECDBE7">
            <wp:extent cx="4533900" cy="2120900"/>
            <wp:effectExtent l="0" t="0" r="0" b="0"/>
            <wp:docPr id="1250349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49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BFD6" w14:textId="1086CF22" w:rsidR="00084412" w:rsidRDefault="00084412" w:rsidP="00084412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黄金价格对数收益率直方图</w:t>
      </w:r>
    </w:p>
    <w:p w14:paraId="08BE9370" w14:textId="77777777" w:rsidR="00084412" w:rsidRDefault="00084412" w:rsidP="00084412">
      <w:pPr>
        <w:keepNext/>
        <w:jc w:val="center"/>
      </w:pPr>
      <w:r w:rsidRPr="00084412">
        <w:drawing>
          <wp:inline distT="0" distB="0" distL="0" distR="0" wp14:anchorId="490BFA38" wp14:editId="27AD85BB">
            <wp:extent cx="4780559" cy="2441543"/>
            <wp:effectExtent l="0" t="0" r="0" b="0"/>
            <wp:docPr id="1550767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67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671" cy="24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0013" w14:textId="5D7E15CC" w:rsidR="00084412" w:rsidRPr="00084412" w:rsidRDefault="00084412" w:rsidP="00084412">
      <w:pPr>
        <w:pStyle w:val="a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黄金价格对数收益率</w:t>
      </w:r>
      <w:r>
        <w:rPr>
          <w:rFonts w:hint="eastAsia"/>
        </w:rPr>
        <w:t>Q</w:t>
      </w:r>
      <w:r>
        <w:t>-</w:t>
      </w:r>
      <w:r>
        <w:rPr>
          <w:rFonts w:hint="eastAsia"/>
        </w:rPr>
        <w:t>Q</w:t>
      </w:r>
      <w:r>
        <w:rPr>
          <w:rFonts w:hint="eastAsia"/>
        </w:rPr>
        <w:t>图</w:t>
      </w:r>
    </w:p>
    <w:p w14:paraId="1C55BF25" w14:textId="3CF422C8" w:rsidR="00683794" w:rsidRDefault="00974450" w:rsidP="00683794">
      <w:pPr>
        <w:pStyle w:val="a"/>
      </w:pPr>
      <w:r>
        <w:rPr>
          <w:rFonts w:hint="eastAsia"/>
        </w:rPr>
        <w:t>随机时间序列</w:t>
      </w:r>
      <w:r w:rsidR="00683794">
        <w:rPr>
          <w:rFonts w:hint="eastAsia"/>
        </w:rPr>
        <w:t>建模及预测</w:t>
      </w:r>
    </w:p>
    <w:p w14:paraId="10D5B31B" w14:textId="7F34D382" w:rsidR="00683794" w:rsidRDefault="00683794" w:rsidP="00683794">
      <w:pPr>
        <w:pStyle w:val="a0"/>
      </w:pPr>
      <w:r>
        <w:rPr>
          <w:rFonts w:hint="eastAsia"/>
        </w:rPr>
        <w:t>模型识别</w:t>
      </w:r>
      <w:r w:rsidR="00974450">
        <w:rPr>
          <w:rFonts w:hint="eastAsia"/>
        </w:rPr>
        <w:t>与</w:t>
      </w:r>
      <w:r w:rsidR="00CF6777">
        <w:rPr>
          <w:rFonts w:hint="eastAsia"/>
        </w:rPr>
        <w:t>模型</w:t>
      </w:r>
      <w:r w:rsidR="00974450">
        <w:rPr>
          <w:rFonts w:hint="eastAsia"/>
        </w:rPr>
        <w:t>定阶</w:t>
      </w:r>
    </w:p>
    <w:p w14:paraId="7E0FF1A9" w14:textId="414BD8D2" w:rsidR="00C07600" w:rsidRDefault="00C07600" w:rsidP="00C07600">
      <w:pPr>
        <w:pStyle w:val="afa"/>
        <w:ind w:firstLine="480"/>
      </w:pPr>
      <w:r>
        <w:rPr>
          <w:rFonts w:hint="eastAsia"/>
        </w:rPr>
        <w:t>由上述的分析可知，该黄金价格的收益率尽管基本而言是平稳的、前后不相关的，但其集中波动的特性暗示其彼此之间并不是完全独立的。</w:t>
      </w:r>
      <w:r w:rsidR="00CF4814">
        <w:rPr>
          <w:rFonts w:hint="eastAsia"/>
        </w:rPr>
        <w:t>为验证该特点我们进行模型识别如下。</w:t>
      </w:r>
    </w:p>
    <w:p w14:paraId="24F3B478" w14:textId="6515A1CF" w:rsidR="00461B62" w:rsidRDefault="00986304" w:rsidP="00996317">
      <w:pPr>
        <w:pStyle w:val="afa"/>
        <w:ind w:firstLine="480"/>
      </w:pPr>
      <w:r>
        <w:rPr>
          <w:rFonts w:hint="eastAsia"/>
        </w:rPr>
        <w:t>首先作对数收益率序列的</w:t>
      </w:r>
      <w:r>
        <w:rPr>
          <w:rFonts w:hint="eastAsia"/>
        </w:rPr>
        <w:t>ACF</w:t>
      </w:r>
      <w:r>
        <w:rPr>
          <w:rFonts w:hint="eastAsia"/>
        </w:rPr>
        <w:t>图、</w:t>
      </w:r>
      <w:r>
        <w:rPr>
          <w:rFonts w:hint="eastAsia"/>
        </w:rPr>
        <w:t>PACF</w:t>
      </w:r>
      <w:r>
        <w:rPr>
          <w:rFonts w:hint="eastAsia"/>
        </w:rPr>
        <w:t>图如图</w:t>
      </w:r>
      <w:r>
        <w:rPr>
          <w:rFonts w:hint="eastAsia"/>
        </w:rPr>
        <w:t>5</w:t>
      </w:r>
      <w:r>
        <w:rPr>
          <w:rFonts w:hint="eastAsia"/>
        </w:rPr>
        <w:t>所示。</w:t>
      </w:r>
      <w:r w:rsidR="0032068B">
        <w:rPr>
          <w:rFonts w:hint="eastAsia"/>
        </w:rPr>
        <w:t>由图可见，除了在较高阶滞后的位置零星出现了略微凸出的</w:t>
      </w:r>
      <w:r w:rsidR="0032068B">
        <w:rPr>
          <w:rFonts w:hint="eastAsia"/>
        </w:rPr>
        <w:t>ACF</w:t>
      </w:r>
      <w:r w:rsidR="0032068B">
        <w:rPr>
          <w:rFonts w:hint="eastAsia"/>
        </w:rPr>
        <w:t>、</w:t>
      </w:r>
      <w:r w:rsidR="0032068B">
        <w:rPr>
          <w:rFonts w:hint="eastAsia"/>
        </w:rPr>
        <w:t>PACF</w:t>
      </w:r>
      <w:r w:rsidR="0032068B">
        <w:rPr>
          <w:rFonts w:hint="eastAsia"/>
        </w:rPr>
        <w:t>值外，</w:t>
      </w:r>
      <w:r w:rsidR="009D6F75">
        <w:rPr>
          <w:rFonts w:hint="eastAsia"/>
        </w:rPr>
        <w:t>其他各值都落在了零水平线之内，</w:t>
      </w:r>
      <w:r w:rsidR="0032068B">
        <w:rPr>
          <w:rFonts w:hint="eastAsia"/>
        </w:rPr>
        <w:t>基本可以认为该对数收益率序列是不存在相关性的</w:t>
      </w:r>
      <w:r w:rsidR="009D6F75">
        <w:rPr>
          <w:rFonts w:hint="eastAsia"/>
        </w:rPr>
        <w:t>白噪声序列。</w:t>
      </w:r>
      <w:r w:rsidR="00097D05">
        <w:rPr>
          <w:rFonts w:hint="eastAsia"/>
        </w:rPr>
        <w:t>进一步验证该直观感受，对序列连续进行直到</w:t>
      </w:r>
      <w:r w:rsidR="00097D05">
        <w:rPr>
          <w:rFonts w:hint="eastAsia"/>
        </w:rPr>
        <w:t>2</w:t>
      </w:r>
      <w:r w:rsidR="00097D05">
        <w:t>4</w:t>
      </w:r>
      <w:r w:rsidR="00097D05">
        <w:rPr>
          <w:rFonts w:hint="eastAsia"/>
        </w:rPr>
        <w:t>阶滞后的</w:t>
      </w:r>
      <w:r w:rsidR="00097D05">
        <w:rPr>
          <w:rFonts w:hint="eastAsia"/>
        </w:rPr>
        <w:t>Ljung</w:t>
      </w:r>
      <w:r w:rsidR="00097D05">
        <w:t>-</w:t>
      </w:r>
      <w:r w:rsidR="00097D05">
        <w:rPr>
          <w:rFonts w:hint="eastAsia"/>
        </w:rPr>
        <w:t>Box</w:t>
      </w:r>
      <w:r w:rsidR="00097D05">
        <w:rPr>
          <w:rFonts w:hint="eastAsia"/>
        </w:rPr>
        <w:t>检验，其检验的</w:t>
      </w:r>
      <w:r w:rsidR="00097D05">
        <w:rPr>
          <w:rFonts w:hint="eastAsia"/>
        </w:rPr>
        <w:t>p</w:t>
      </w:r>
      <w:r w:rsidR="00097D05">
        <w:rPr>
          <w:rFonts w:hint="eastAsia"/>
        </w:rPr>
        <w:t>值均大于</w:t>
      </w:r>
      <w:r w:rsidR="00097D05">
        <w:rPr>
          <w:rFonts w:hint="eastAsia"/>
        </w:rPr>
        <w:t>0</w:t>
      </w:r>
      <w:r w:rsidR="00097D05">
        <w:t>.15</w:t>
      </w:r>
      <w:r w:rsidR="00097D05">
        <w:rPr>
          <w:rFonts w:hint="eastAsia"/>
        </w:rPr>
        <w:t>，可以认为有较为充分的统计学理由支持上述</w:t>
      </w:r>
      <w:r w:rsidR="00872C78">
        <w:rPr>
          <w:rFonts w:hint="eastAsia"/>
        </w:rPr>
        <w:t>白噪声</w:t>
      </w:r>
      <w:r w:rsidR="00097D05">
        <w:rPr>
          <w:rFonts w:hint="eastAsia"/>
        </w:rPr>
        <w:t>观点。</w:t>
      </w:r>
    </w:p>
    <w:p w14:paraId="07BE27B2" w14:textId="5295E1D0" w:rsidR="00350714" w:rsidRPr="00996317" w:rsidRDefault="00996317" w:rsidP="00350714">
      <w:pPr>
        <w:pStyle w:val="afa"/>
        <w:ind w:firstLine="480"/>
        <w:rPr>
          <w:rFonts w:hint="eastAsia"/>
        </w:rPr>
      </w:pPr>
      <w:r>
        <w:rPr>
          <w:rFonts w:hint="eastAsia"/>
        </w:rPr>
        <w:t>考虑到其上述的波动性特征，这里对序列的</w:t>
      </w:r>
      <w:r>
        <w:rPr>
          <w:rFonts w:hint="eastAsia"/>
        </w:rPr>
        <w:t>ARCH</w:t>
      </w:r>
      <w:r>
        <w:rPr>
          <w:rFonts w:hint="eastAsia"/>
        </w:rPr>
        <w:t>效应进行检验。</w:t>
      </w:r>
      <w:r w:rsidR="003D56F6">
        <w:rPr>
          <w:rFonts w:hint="eastAsia"/>
        </w:rPr>
        <w:t>这里分别对序列取绝对值及平方，再计算其对应的</w:t>
      </w:r>
      <w:r w:rsidR="003D56F6">
        <w:rPr>
          <w:rFonts w:hint="eastAsia"/>
        </w:rPr>
        <w:t>ACF</w:t>
      </w:r>
      <w:r w:rsidR="003D56F6">
        <w:rPr>
          <w:rFonts w:hint="eastAsia"/>
        </w:rPr>
        <w:t>，对应结果如图</w:t>
      </w:r>
      <w:r w:rsidR="003D56F6">
        <w:rPr>
          <w:rFonts w:hint="eastAsia"/>
        </w:rPr>
        <w:t>6</w:t>
      </w:r>
      <w:r w:rsidR="003D56F6">
        <w:rPr>
          <w:rFonts w:hint="eastAsia"/>
        </w:rPr>
        <w:t>所示。</w:t>
      </w:r>
      <w:r w:rsidR="00970C6D">
        <w:rPr>
          <w:rFonts w:hint="eastAsia"/>
        </w:rPr>
        <w:t>由此可以看出，有</w:t>
      </w:r>
      <w:r w:rsidR="00970C6D">
        <w:rPr>
          <w:rFonts w:hint="eastAsia"/>
        </w:rPr>
        <w:lastRenderedPageBreak/>
        <w:t>多个相关值均超出了相应界限。</w:t>
      </w:r>
      <w:r w:rsidR="004D361B">
        <w:rPr>
          <w:rFonts w:hint="eastAsia"/>
        </w:rPr>
        <w:t>进一步对收益率序列进行直到</w:t>
      </w:r>
      <w:r w:rsidR="004D361B">
        <w:rPr>
          <w:rFonts w:hint="eastAsia"/>
        </w:rPr>
        <w:t>2</w:t>
      </w:r>
      <w:r w:rsidR="004D361B">
        <w:t>4</w:t>
      </w:r>
      <w:r w:rsidR="004D361B">
        <w:rPr>
          <w:rFonts w:hint="eastAsia"/>
        </w:rPr>
        <w:t>阶的</w:t>
      </w:r>
      <w:r w:rsidR="004D361B">
        <w:rPr>
          <w:rFonts w:hint="eastAsia"/>
        </w:rPr>
        <w:t>McLeod</w:t>
      </w:r>
      <w:r w:rsidR="004D361B">
        <w:t>-</w:t>
      </w:r>
      <w:r w:rsidR="004D361B">
        <w:rPr>
          <w:rFonts w:hint="eastAsia"/>
        </w:rPr>
        <w:t>Li</w:t>
      </w:r>
      <w:r w:rsidR="004D361B">
        <w:rPr>
          <w:rFonts w:hint="eastAsia"/>
        </w:rPr>
        <w:t>检验，其对应阶数与</w:t>
      </w:r>
      <w:r w:rsidR="004D361B">
        <w:rPr>
          <w:rFonts w:hint="eastAsia"/>
        </w:rPr>
        <w:t>p</w:t>
      </w:r>
      <w:r w:rsidR="004D361B">
        <w:rPr>
          <w:rFonts w:hint="eastAsia"/>
        </w:rPr>
        <w:t>值如表</w:t>
      </w:r>
      <w:r w:rsidR="004D361B">
        <w:t>1</w:t>
      </w:r>
      <w:r w:rsidR="004D361B">
        <w:rPr>
          <w:rFonts w:hint="eastAsia"/>
        </w:rPr>
        <w:t>所示。</w:t>
      </w:r>
      <w:r w:rsidR="002846CA">
        <w:rPr>
          <w:rFonts w:hint="eastAsia"/>
        </w:rPr>
        <w:t>由表可见，</w:t>
      </w:r>
      <w:r w:rsidR="005B012D">
        <w:rPr>
          <w:rFonts w:hint="eastAsia"/>
        </w:rPr>
        <w:t>可以认为在</w:t>
      </w:r>
      <w:r w:rsidR="005B012D">
        <w:rPr>
          <w:rFonts w:hint="eastAsia"/>
        </w:rPr>
        <w:t>1</w:t>
      </w:r>
      <w:r w:rsidR="005B012D">
        <w:t>0%</w:t>
      </w:r>
      <w:r w:rsidR="005B012D">
        <w:rPr>
          <w:rFonts w:hint="eastAsia"/>
        </w:rPr>
        <w:t>的显著性水平下可以拒绝原假设，认为</w:t>
      </w:r>
      <w:r w:rsidR="00F17259">
        <w:rPr>
          <w:rFonts w:hint="eastAsia"/>
        </w:rPr>
        <w:t>序列整体之间存在显著的相关性；在</w:t>
      </w:r>
      <w:r w:rsidR="00F17259">
        <w:rPr>
          <w:rFonts w:hint="eastAsia"/>
        </w:rPr>
        <w:t>5</w:t>
      </w:r>
      <w:r w:rsidR="00F17259">
        <w:t>%</w:t>
      </w:r>
      <w:r w:rsidR="00F17259">
        <w:rPr>
          <w:rFonts w:hint="eastAsia"/>
        </w:rPr>
        <w:t>的显著性水平下该结论也基本成立。</w:t>
      </w:r>
      <w:r w:rsidR="004850CB">
        <w:rPr>
          <w:rFonts w:hint="eastAsia"/>
        </w:rPr>
        <w:t>综合</w:t>
      </w:r>
      <w:r w:rsidR="004850CB">
        <w:rPr>
          <w:rFonts w:hint="eastAsia"/>
        </w:rPr>
        <w:t>ACF</w:t>
      </w:r>
      <w:r w:rsidR="004850CB">
        <w:rPr>
          <w:rFonts w:hint="eastAsia"/>
        </w:rPr>
        <w:t>及时序图等多方面判断，基本可以认为黄金价格的对数收益率是存在着明显的</w:t>
      </w:r>
      <w:r w:rsidR="004850CB">
        <w:rPr>
          <w:rFonts w:hint="eastAsia"/>
        </w:rPr>
        <w:t>ARCH</w:t>
      </w:r>
      <w:r w:rsidR="004850CB">
        <w:rPr>
          <w:rFonts w:hint="eastAsia"/>
        </w:rPr>
        <w:t>效应的。</w:t>
      </w:r>
    </w:p>
    <w:p w14:paraId="53D934E5" w14:textId="77777777" w:rsidR="0032068B" w:rsidRDefault="0032068B" w:rsidP="0032068B">
      <w:pPr>
        <w:keepNext/>
        <w:jc w:val="center"/>
      </w:pPr>
      <w:r w:rsidRPr="0032068B">
        <w:drawing>
          <wp:inline distT="0" distB="0" distL="0" distR="0" wp14:anchorId="52D55D5D" wp14:editId="34F31788">
            <wp:extent cx="5164938" cy="2355315"/>
            <wp:effectExtent l="0" t="0" r="4445" b="0"/>
            <wp:docPr id="661829492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9492" name="图片 1" descr="图表, 箱线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106" cy="23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AF67" w14:textId="063F9793" w:rsidR="0032068B" w:rsidRDefault="0032068B" w:rsidP="0032068B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对数收益率的</w:t>
      </w:r>
      <w:r>
        <w:rPr>
          <w:rFonts w:hint="eastAsia"/>
        </w:rPr>
        <w:t>ACF</w:t>
      </w:r>
      <w:r>
        <w:t xml:space="preserve"> </w:t>
      </w:r>
      <w:r>
        <w:rPr>
          <w:rFonts w:hint="eastAsia"/>
        </w:rPr>
        <w:t>与</w:t>
      </w:r>
      <w:r>
        <w:t xml:space="preserve"> PACF</w:t>
      </w:r>
    </w:p>
    <w:p w14:paraId="454A0312" w14:textId="77777777" w:rsidR="00350714" w:rsidRDefault="00350714" w:rsidP="00350714">
      <w:pPr>
        <w:keepNext/>
        <w:jc w:val="center"/>
        <w:rPr>
          <w:rFonts w:hint="eastAsia"/>
        </w:rPr>
      </w:pPr>
      <w:r w:rsidRPr="00350714">
        <w:drawing>
          <wp:inline distT="0" distB="0" distL="0" distR="0" wp14:anchorId="7FF33C1F" wp14:editId="7FC526C0">
            <wp:extent cx="5433939" cy="2592372"/>
            <wp:effectExtent l="0" t="0" r="1905" b="0"/>
            <wp:docPr id="286716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16" name="图片 1" descr="图表, 箱线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3568" cy="26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E5C8" w14:textId="121EC76F" w:rsidR="00350714" w:rsidRDefault="00350714" w:rsidP="0035071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经绝对值</w:t>
      </w:r>
      <w:r>
        <w:rPr>
          <w:rFonts w:hint="eastAsia"/>
        </w:rPr>
        <w:t>/</w:t>
      </w:r>
      <w:r>
        <w:rPr>
          <w:rFonts w:hint="eastAsia"/>
        </w:rPr>
        <w:t>平方处理后的序列</w:t>
      </w:r>
      <w:r>
        <w:rPr>
          <w:rFonts w:hint="eastAsia"/>
        </w:rPr>
        <w:t>ACF</w:t>
      </w:r>
    </w:p>
    <w:p w14:paraId="1DADC19B" w14:textId="77777777" w:rsidR="007B22AB" w:rsidRPr="007B22AB" w:rsidRDefault="007B22AB" w:rsidP="007B22AB">
      <w:pPr>
        <w:rPr>
          <w:rFonts w:hint="eastAsia"/>
        </w:rPr>
      </w:pPr>
    </w:p>
    <w:p w14:paraId="28807EA6" w14:textId="661CE7FE" w:rsidR="002846CA" w:rsidRDefault="002846CA" w:rsidP="002846CA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B4B0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Mcleod</w:t>
      </w:r>
      <w:r>
        <w:t>-</w:t>
      </w:r>
      <w:r>
        <w:rPr>
          <w:rFonts w:hint="eastAsia"/>
        </w:rPr>
        <w:t>Li</w:t>
      </w:r>
      <w:r>
        <w:rPr>
          <w:rFonts w:hint="eastAsia"/>
        </w:rPr>
        <w:t>检验结果</w:t>
      </w:r>
    </w:p>
    <w:tbl>
      <w:tblPr>
        <w:tblStyle w:val="11"/>
        <w:tblW w:w="5000" w:type="pct"/>
        <w:jc w:val="center"/>
        <w:tblLook w:val="04A0" w:firstRow="1" w:lastRow="0" w:firstColumn="1" w:lastColumn="0" w:noHBand="0" w:noVBand="1"/>
      </w:tblPr>
      <w:tblGrid>
        <w:gridCol w:w="4513"/>
        <w:gridCol w:w="4513"/>
      </w:tblGrid>
      <w:tr w:rsidR="007B22AB" w14:paraId="65F4A8FB" w14:textId="77777777" w:rsidTr="007B2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00" w:type="pct"/>
            <w:vAlign w:val="center"/>
          </w:tcPr>
          <w:p w14:paraId="2D363B01" w14:textId="6C591ED3" w:rsidR="007B22AB" w:rsidRPr="002846CA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2846CA">
              <w:rPr>
                <w:rFonts w:hint="eastAsia"/>
                <w:b/>
                <w:bCs/>
              </w:rPr>
              <w:t>滞后阶数</w:t>
            </w:r>
          </w:p>
        </w:tc>
        <w:tc>
          <w:tcPr>
            <w:tcW w:w="2500" w:type="pct"/>
            <w:vAlign w:val="center"/>
          </w:tcPr>
          <w:p w14:paraId="14824DF0" w14:textId="05895AF2" w:rsidR="007B22AB" w:rsidRPr="002846CA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2846CA">
              <w:rPr>
                <w:rFonts w:hint="eastAsia"/>
                <w:b/>
                <w:bCs/>
              </w:rPr>
              <w:t>p</w:t>
            </w:r>
            <w:r w:rsidRPr="002846CA">
              <w:rPr>
                <w:b/>
                <w:bCs/>
              </w:rPr>
              <w:t>-</w:t>
            </w:r>
            <w:r w:rsidRPr="002846CA">
              <w:rPr>
                <w:rFonts w:hint="eastAsia"/>
                <w:b/>
                <w:bCs/>
              </w:rPr>
              <w:t>value</w:t>
            </w:r>
          </w:p>
        </w:tc>
      </w:tr>
      <w:tr w:rsidR="007B22AB" w14:paraId="3B197C51" w14:textId="77777777" w:rsidTr="007B22AB">
        <w:trPr>
          <w:jc w:val="center"/>
        </w:trPr>
        <w:tc>
          <w:tcPr>
            <w:tcW w:w="2500" w:type="pct"/>
            <w:vAlign w:val="center"/>
          </w:tcPr>
          <w:p w14:paraId="7603993F" w14:textId="0172B6F5" w:rsidR="007B22AB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500" w:type="pct"/>
            <w:vAlign w:val="center"/>
          </w:tcPr>
          <w:p w14:paraId="031AED97" w14:textId="615C5B58" w:rsidR="007B22AB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7B22AB">
              <w:t>0.01524</w:t>
            </w:r>
            <w:r w:rsidR="002846CA">
              <w:rPr>
                <w:rFonts w:hint="eastAsia"/>
              </w:rPr>
              <w:t xml:space="preserve"> </w:t>
            </w:r>
            <w:r w:rsidR="002846CA">
              <w:t>(**)</w:t>
            </w:r>
          </w:p>
        </w:tc>
      </w:tr>
      <w:tr w:rsidR="007B22AB" w14:paraId="0B36E71D" w14:textId="77777777" w:rsidTr="007B22AB">
        <w:trPr>
          <w:jc w:val="center"/>
        </w:trPr>
        <w:tc>
          <w:tcPr>
            <w:tcW w:w="2500" w:type="pct"/>
            <w:vAlign w:val="center"/>
          </w:tcPr>
          <w:p w14:paraId="5BC30DB0" w14:textId="6D4F3E99" w:rsidR="007B22AB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500" w:type="pct"/>
            <w:vAlign w:val="center"/>
          </w:tcPr>
          <w:p w14:paraId="64F0F6BF" w14:textId="6C3AC8C8" w:rsidR="007B22AB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7B22AB">
              <w:t>0.09813</w:t>
            </w:r>
            <w:r w:rsidR="002846CA">
              <w:rPr>
                <w:rFonts w:hint="eastAsia"/>
              </w:rPr>
              <w:t xml:space="preserve"> </w:t>
            </w:r>
            <w:r w:rsidR="002846CA">
              <w:t>(*)</w:t>
            </w:r>
          </w:p>
        </w:tc>
      </w:tr>
      <w:tr w:rsidR="007B22AB" w14:paraId="3E652AB8" w14:textId="77777777" w:rsidTr="007B22AB">
        <w:trPr>
          <w:jc w:val="center"/>
        </w:trPr>
        <w:tc>
          <w:tcPr>
            <w:tcW w:w="2500" w:type="pct"/>
            <w:vAlign w:val="center"/>
          </w:tcPr>
          <w:p w14:paraId="544D0253" w14:textId="61095763" w:rsidR="007B22AB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500" w:type="pct"/>
            <w:vAlign w:val="center"/>
          </w:tcPr>
          <w:p w14:paraId="295F0C3C" w14:textId="715C2138" w:rsidR="007B22AB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7B22AB">
              <w:t>0.06499</w:t>
            </w:r>
            <w:r w:rsidR="002846CA">
              <w:t xml:space="preserve"> </w:t>
            </w:r>
            <w:r w:rsidR="002846CA">
              <w:rPr>
                <w:rFonts w:hint="eastAsia"/>
              </w:rPr>
              <w:t>(</w:t>
            </w:r>
            <w:r w:rsidR="002846CA">
              <w:t>*)</w:t>
            </w:r>
          </w:p>
        </w:tc>
      </w:tr>
      <w:tr w:rsidR="007B22AB" w14:paraId="495E4DA7" w14:textId="77777777" w:rsidTr="007B22AB">
        <w:trPr>
          <w:jc w:val="center"/>
        </w:trPr>
        <w:tc>
          <w:tcPr>
            <w:tcW w:w="2500" w:type="pct"/>
            <w:vAlign w:val="center"/>
          </w:tcPr>
          <w:p w14:paraId="4A24B547" w14:textId="0FF264EF" w:rsidR="007B22AB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500" w:type="pct"/>
            <w:vAlign w:val="center"/>
          </w:tcPr>
          <w:p w14:paraId="7D4B35DD" w14:textId="4E8E15E1" w:rsidR="007B22AB" w:rsidRDefault="007B22AB" w:rsidP="007B22AB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7B22AB">
              <w:t>0.02762</w:t>
            </w:r>
            <w:r w:rsidR="002846CA">
              <w:t xml:space="preserve"> (**)</w:t>
            </w:r>
          </w:p>
        </w:tc>
      </w:tr>
    </w:tbl>
    <w:p w14:paraId="3E995262" w14:textId="44BFE666" w:rsidR="007B22AB" w:rsidRPr="002846CA" w:rsidRDefault="002846CA" w:rsidP="007B22AB">
      <w:pPr>
        <w:rPr>
          <w:rFonts w:hint="eastAsia"/>
          <w:sz w:val="18"/>
          <w:szCs w:val="21"/>
        </w:rPr>
      </w:pPr>
      <w:r w:rsidRPr="002846CA">
        <w:rPr>
          <w:rFonts w:hint="eastAsia"/>
          <w:sz w:val="18"/>
          <w:szCs w:val="21"/>
        </w:rPr>
        <w:t>注：</w:t>
      </w:r>
      <w:r w:rsidRPr="002846CA">
        <w:rPr>
          <w:rFonts w:hint="eastAsia"/>
          <w:sz w:val="18"/>
          <w:szCs w:val="21"/>
        </w:rPr>
        <w:t>*</w:t>
      </w:r>
      <w:r w:rsidRPr="002846CA">
        <w:rPr>
          <w:sz w:val="18"/>
          <w:szCs w:val="21"/>
        </w:rPr>
        <w:t>*</w:t>
      </w:r>
      <w:r w:rsidR="0000354B"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5</w:t>
      </w:r>
      <w:r w:rsidRPr="002846CA">
        <w:rPr>
          <w:sz w:val="18"/>
          <w:szCs w:val="21"/>
        </w:rPr>
        <w:t>%</w:t>
      </w:r>
      <w:r w:rsidRPr="002846CA">
        <w:rPr>
          <w:rFonts w:hint="eastAsia"/>
          <w:sz w:val="18"/>
          <w:szCs w:val="21"/>
        </w:rPr>
        <w:t>显著</w:t>
      </w:r>
      <w:r w:rsidR="0000354B">
        <w:rPr>
          <w:rFonts w:hint="eastAsia"/>
          <w:sz w:val="18"/>
          <w:szCs w:val="21"/>
        </w:rPr>
        <w:t>水平</w:t>
      </w:r>
      <w:r w:rsidRPr="002846CA">
        <w:rPr>
          <w:rFonts w:hint="eastAsia"/>
          <w:sz w:val="18"/>
          <w:szCs w:val="21"/>
        </w:rPr>
        <w:t>，</w:t>
      </w:r>
      <w:r w:rsidRPr="002846CA">
        <w:rPr>
          <w:rFonts w:hint="eastAsia"/>
          <w:sz w:val="18"/>
          <w:szCs w:val="21"/>
        </w:rPr>
        <w:t>*</w:t>
      </w:r>
      <w:r w:rsidR="0000354B"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1</w:t>
      </w:r>
      <w:r w:rsidRPr="002846CA">
        <w:rPr>
          <w:sz w:val="18"/>
          <w:szCs w:val="21"/>
        </w:rPr>
        <w:t>0</w:t>
      </w:r>
      <w:r w:rsidR="0000354B">
        <w:rPr>
          <w:sz w:val="18"/>
          <w:szCs w:val="21"/>
        </w:rPr>
        <w:t>%</w:t>
      </w:r>
      <w:r w:rsidR="0000354B">
        <w:rPr>
          <w:rFonts w:hint="eastAsia"/>
          <w:sz w:val="18"/>
          <w:szCs w:val="21"/>
        </w:rPr>
        <w:t>显著水平</w:t>
      </w:r>
    </w:p>
    <w:p w14:paraId="73942A21" w14:textId="0B8375FA" w:rsidR="00BA3B30" w:rsidRDefault="00BA3B30" w:rsidP="00235CF7">
      <w:pPr>
        <w:pStyle w:val="afa"/>
        <w:ind w:firstLine="480"/>
      </w:pPr>
      <w:r>
        <w:rPr>
          <w:rFonts w:hint="eastAsia"/>
        </w:rPr>
        <w:lastRenderedPageBreak/>
        <w:t>根据上述判断，该序列的对数差分整体呈现白噪声形势，对其进行</w:t>
      </w:r>
      <w:r>
        <w:rPr>
          <w:rFonts w:hint="eastAsia"/>
        </w:rPr>
        <w:t>ARIMA</w:t>
      </w:r>
      <w:r>
        <w:rPr>
          <w:rFonts w:hint="eastAsia"/>
        </w:rPr>
        <w:t>建模的意义不大。</w:t>
      </w:r>
      <w:r w:rsidR="00A41D54">
        <w:rPr>
          <w:rFonts w:hint="eastAsia"/>
        </w:rPr>
        <w:t>综合上述的</w:t>
      </w:r>
      <w:r w:rsidR="00A41D54">
        <w:rPr>
          <w:rFonts w:hint="eastAsia"/>
        </w:rPr>
        <w:t>ARCH</w:t>
      </w:r>
      <w:r w:rsidR="00A41D54">
        <w:rPr>
          <w:rFonts w:hint="eastAsia"/>
        </w:rPr>
        <w:t>效应，下面将尝试对模型的波动率进行建模，构建诸如</w:t>
      </w:r>
      <w:r w:rsidR="00A41D54">
        <w:rPr>
          <w:rFonts w:hint="eastAsia"/>
        </w:rPr>
        <w:t>ARCH</w:t>
      </w:r>
      <w:r w:rsidR="00A41D54">
        <w:rPr>
          <w:rFonts w:hint="eastAsia"/>
        </w:rPr>
        <w:t>、</w:t>
      </w:r>
      <w:r w:rsidR="00A41D54">
        <w:rPr>
          <w:rFonts w:hint="eastAsia"/>
        </w:rPr>
        <w:t>GARCH</w:t>
      </w:r>
      <w:r w:rsidR="00A41D54">
        <w:rPr>
          <w:rFonts w:hint="eastAsia"/>
        </w:rPr>
        <w:t>等相应模型。</w:t>
      </w:r>
      <w:r w:rsidR="00FE63DC">
        <w:rPr>
          <w:rFonts w:hint="eastAsia"/>
        </w:rPr>
        <w:t>特别地，</w:t>
      </w:r>
      <w:r w:rsidR="009F3AB7">
        <w:rPr>
          <w:rFonts w:hint="eastAsia"/>
        </w:rPr>
        <w:t>在沿用上述记号的基础上，记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F3AB7">
        <w:rPr>
          <w:rFonts w:hint="eastAsia"/>
        </w:rPr>
        <w:t>为截止到</w:t>
      </w:r>
      <m:oMath>
        <m:r>
          <w:rPr>
            <w:rFonts w:ascii="Cambria Math" w:hAnsi="Cambria Math"/>
          </w:rPr>
          <m:t>t</m:t>
        </m:r>
      </m:oMath>
      <w:r w:rsidR="009F3AB7">
        <w:rPr>
          <w:rFonts w:hint="eastAsia"/>
        </w:rPr>
        <w:t>时刻的信息集，其中包含截止到该时刻到全部收益率信息。</w:t>
      </w:r>
      <w:r w:rsidR="00235CF7">
        <w:rPr>
          <w:rFonts w:hint="eastAsia"/>
        </w:rPr>
        <w:t>另记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{ε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}</m:t>
        </m:r>
      </m:oMath>
      <w:r w:rsidR="00235CF7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35CF7">
        <w:rPr>
          <w:rFonts w:hint="eastAsia"/>
        </w:rPr>
        <w:t>可测的不相关白噪声序列。</w:t>
      </w:r>
    </w:p>
    <w:p w14:paraId="0F387BD0" w14:textId="77777777" w:rsidR="00FE63DC" w:rsidRDefault="00FE63DC" w:rsidP="00235CF7">
      <w:pPr>
        <w:pStyle w:val="afa"/>
        <w:ind w:firstLine="480"/>
        <w:rPr>
          <w:rFonts w:hint="eastAsia"/>
        </w:rPr>
      </w:pPr>
    </w:p>
    <w:p w14:paraId="2E8ED075" w14:textId="0E5E612A" w:rsidR="00235CF7" w:rsidRDefault="00235CF7" w:rsidP="00235CF7">
      <w:pPr>
        <w:pStyle w:val="afa"/>
        <w:ind w:firstLine="480"/>
      </w:pPr>
      <w:r>
        <w:rPr>
          <w:rFonts w:hint="eastAsia"/>
        </w:rPr>
        <w:t>首先尝试拟合</w:t>
      </w:r>
      <w:r>
        <w:rPr>
          <w:rFonts w:hint="eastAsia"/>
        </w:rPr>
        <w:t>ARCH</w:t>
      </w:r>
      <w:r>
        <w:t>(q)</w:t>
      </w:r>
      <w:r>
        <w:rPr>
          <w:rFonts w:hint="eastAsia"/>
        </w:rPr>
        <w:t>模型</w:t>
      </w:r>
      <w:r w:rsidR="00D82A10">
        <w:rPr>
          <w:rFonts w:hint="eastAsia"/>
        </w:rPr>
        <w:t>如下：</w:t>
      </w:r>
    </w:p>
    <w:p w14:paraId="16273C3B" w14:textId="49094F99" w:rsidR="00D82A10" w:rsidRPr="00D82A10" w:rsidRDefault="00D82A10" w:rsidP="00D82A10">
      <w:pPr>
        <w:pStyle w:val="afa"/>
        <w:spacing w:line="240" w:lineRule="auto"/>
        <w:ind w:firstLineChars="83" w:firstLine="199"/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=ω+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q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10769191" w14:textId="36B5B4BA" w:rsidR="00D82A10" w:rsidRDefault="001D2F84" w:rsidP="001D2F84">
      <w:pPr>
        <w:pStyle w:val="afa"/>
        <w:ind w:firstLineChars="83" w:firstLine="199"/>
      </w:pPr>
      <w:r>
        <w:tab/>
      </w:r>
      <w:r>
        <w:rPr>
          <w:rFonts w:hint="eastAsia"/>
        </w:rPr>
        <w:t>由</w:t>
      </w:r>
      <w:r>
        <w:rPr>
          <w:rFonts w:hint="eastAsia"/>
        </w:rPr>
        <w:t>ARCH</w:t>
      </w:r>
      <w:r>
        <w:t>(q)</w:t>
      </w:r>
      <w:r>
        <w:rPr>
          <w:rFonts w:hint="eastAsia"/>
        </w:rPr>
        <w:t>的性质可知，若序列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rFonts w:hint="eastAsia"/>
        </w:rPr>
        <w:t>符合一个</w:t>
      </w:r>
      <w:r>
        <w:rPr>
          <w:rFonts w:hint="eastAsia"/>
        </w:rPr>
        <w:t>ARCH</w:t>
      </w:r>
      <w:r>
        <w:t>(q)</w:t>
      </w:r>
      <w:r>
        <w:rPr>
          <w:rFonts w:hint="eastAsia"/>
        </w:rPr>
        <w:t>模型，则对应的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>
        <w:rPr>
          <w:rFonts w:hint="eastAsia"/>
        </w:rPr>
        <w:t>可满足</w:t>
      </w:r>
      <w:r>
        <w:rPr>
          <w:rFonts w:hint="eastAsia"/>
        </w:rPr>
        <w:t>AR</w:t>
      </w:r>
      <w:r>
        <w:t>(q)</w:t>
      </w:r>
      <w:r>
        <w:rPr>
          <w:rFonts w:hint="eastAsia"/>
        </w:rPr>
        <w:t>模型。故由此为依据进行定阶。</w:t>
      </w:r>
    </w:p>
    <w:p w14:paraId="44FDDF90" w14:textId="1E3DDA60" w:rsidR="00FE63DC" w:rsidRDefault="00FE63DC" w:rsidP="00FE63DC">
      <w:pPr>
        <w:pStyle w:val="afa"/>
        <w:ind w:firstLineChars="0" w:firstLine="0"/>
        <w:rPr>
          <w:rFonts w:hint="eastAsia"/>
        </w:rPr>
      </w:pPr>
      <w:r>
        <w:tab/>
      </w:r>
      <w:r w:rsidR="00CB189F">
        <w:rPr>
          <w:rFonts w:hint="eastAsia"/>
        </w:rPr>
        <w:t>对该对数收益率求解</w:t>
      </w:r>
      <w:r w:rsidR="00CB189F">
        <w:rPr>
          <w:rFonts w:hint="eastAsia"/>
        </w:rPr>
        <w:t>PACF</w:t>
      </w:r>
      <w:r w:rsidR="00CB189F">
        <w:rPr>
          <w:rFonts w:hint="eastAsia"/>
        </w:rPr>
        <w:t>如图</w:t>
      </w:r>
      <w:r w:rsidR="00CB189F">
        <w:rPr>
          <w:rFonts w:hint="eastAsia"/>
        </w:rPr>
        <w:t>7</w:t>
      </w:r>
      <w:r w:rsidR="00CB189F">
        <w:rPr>
          <w:rFonts w:hint="eastAsia"/>
        </w:rPr>
        <w:t>所示。</w:t>
      </w:r>
      <w:r w:rsidR="00AC005C">
        <w:rPr>
          <w:rFonts w:hint="eastAsia"/>
        </w:rPr>
        <w:t>由图式可知，在第</w:t>
      </w:r>
      <w:r w:rsidR="00AC005C">
        <w:rPr>
          <w:rFonts w:hint="eastAsia"/>
        </w:rPr>
        <w:t>1</w:t>
      </w:r>
      <w:r w:rsidR="00AC005C">
        <w:t>, 13, 21</w:t>
      </w:r>
      <w:r w:rsidR="00AC005C">
        <w:rPr>
          <w:rFonts w:hint="eastAsia"/>
        </w:rPr>
        <w:t>阶滞后处</w:t>
      </w:r>
      <w:r w:rsidR="00AC005C">
        <w:rPr>
          <w:rFonts w:hint="eastAsia"/>
        </w:rPr>
        <w:t>PACF</w:t>
      </w:r>
      <w:r w:rsidR="00AC005C">
        <w:rPr>
          <w:rFonts w:hint="eastAsia"/>
        </w:rPr>
        <w:t>取值较为突出。</w:t>
      </w:r>
      <w:r w:rsidR="00204011">
        <w:rPr>
          <w:rFonts w:hint="eastAsia"/>
        </w:rPr>
        <w:t>另一方面，由于</w:t>
      </w:r>
      <w:r w:rsidR="00204011">
        <w:rPr>
          <w:rFonts w:hint="eastAsia"/>
        </w:rPr>
        <w:t>2</w:t>
      </w:r>
      <w:r w:rsidR="00204011">
        <w:t>1</w:t>
      </w:r>
      <w:r w:rsidR="00204011">
        <w:rPr>
          <w:rFonts w:hint="eastAsia"/>
        </w:rPr>
        <w:t>阶滞后阶数过高，不可避免将引入过多参数，故暂时只考虑尝试拟合</w:t>
      </w:r>
      <w:r w:rsidR="00204011">
        <w:rPr>
          <w:rFonts w:hint="eastAsia"/>
        </w:rPr>
        <w:t>ARCH</w:t>
      </w:r>
      <w:r w:rsidR="00204011">
        <w:t>(1), ARCH(13)</w:t>
      </w:r>
      <w:r w:rsidR="00204011">
        <w:rPr>
          <w:rFonts w:hint="eastAsia"/>
        </w:rPr>
        <w:t>。</w:t>
      </w:r>
      <w:r w:rsidR="00E2630E">
        <w:rPr>
          <w:rFonts w:hint="eastAsia"/>
        </w:rPr>
        <w:t>此外参考信息准则再次尝试定阶，给出的参考建议为拟合</w:t>
      </w:r>
      <w:r w:rsidR="00E2630E">
        <w:t>ARCH(2)</w:t>
      </w:r>
      <w:r w:rsidR="00E2630E">
        <w:rPr>
          <w:rFonts w:hint="eastAsia"/>
        </w:rPr>
        <w:t>模型。综上所述，</w:t>
      </w:r>
      <w:r w:rsidR="00741A4C">
        <w:rPr>
          <w:rFonts w:hint="eastAsia"/>
        </w:rPr>
        <w:t>接下来将针</w:t>
      </w:r>
      <w:r w:rsidR="00E2630E">
        <w:rPr>
          <w:rFonts w:hint="eastAsia"/>
        </w:rPr>
        <w:t>对这三项阶数尝试拟合模型。</w:t>
      </w:r>
    </w:p>
    <w:p w14:paraId="2B89E2F4" w14:textId="77777777" w:rsidR="00AC005C" w:rsidRDefault="00AC005C" w:rsidP="00AC005C">
      <w:pPr>
        <w:pStyle w:val="afa"/>
        <w:keepNext/>
        <w:spacing w:line="240" w:lineRule="auto"/>
        <w:ind w:firstLineChars="0" w:firstLine="0"/>
        <w:jc w:val="center"/>
      </w:pPr>
      <w:r w:rsidRPr="00AC005C">
        <w:drawing>
          <wp:inline distT="0" distB="0" distL="0" distR="0" wp14:anchorId="3CFB5838" wp14:editId="2C1EC99B">
            <wp:extent cx="3975100" cy="1968500"/>
            <wp:effectExtent l="0" t="0" r="0" b="0"/>
            <wp:docPr id="804801754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01754" name="图片 1" descr="图表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DDB5" w14:textId="1CBF46CC" w:rsidR="00AC005C" w:rsidRDefault="00AC005C" w:rsidP="00AC005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A349B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对数收益平方</w:t>
      </w:r>
      <w:r>
        <w:rPr>
          <w:rFonts w:hint="eastAsia"/>
        </w:rPr>
        <w:t>PACF</w:t>
      </w:r>
    </w:p>
    <w:p w14:paraId="59313FFD" w14:textId="2E0C2AD3" w:rsidR="008F115F" w:rsidRDefault="008F115F" w:rsidP="008F115F">
      <w:pPr>
        <w:pStyle w:val="afa"/>
        <w:ind w:firstLine="480"/>
      </w:pPr>
    </w:p>
    <w:p w14:paraId="09398CE5" w14:textId="7CC0F139" w:rsidR="008F115F" w:rsidRPr="00FB4B07" w:rsidRDefault="008F115F" w:rsidP="00FB4B07">
      <w:pPr>
        <w:pStyle w:val="afa"/>
        <w:ind w:firstLine="480"/>
      </w:pPr>
      <w:r w:rsidRPr="00FB4B07">
        <w:rPr>
          <w:rFonts w:hint="eastAsia"/>
        </w:rPr>
        <w:t>此外，考虑如下所示的</w:t>
      </w:r>
      <w:r w:rsidRPr="00FB4B07">
        <w:rPr>
          <w:rFonts w:hint="eastAsia"/>
        </w:rPr>
        <w:t>GARCH</w:t>
      </w:r>
      <w:r w:rsidRPr="00FB4B07">
        <w:t>(</w:t>
      </w:r>
      <w:r w:rsidR="00E740C3" w:rsidRPr="00FB4B07">
        <w:t>p,q)</w:t>
      </w:r>
      <w:r w:rsidR="00E740C3" w:rsidRPr="00FB4B07">
        <w:rPr>
          <w:rFonts w:hint="eastAsia"/>
        </w:rPr>
        <w:t>模型：</w:t>
      </w:r>
    </w:p>
    <w:p w14:paraId="5609387F" w14:textId="0DF1C6C8" w:rsidR="00E740C3" w:rsidRPr="00E740C3" w:rsidRDefault="00E740C3" w:rsidP="00E740C3">
      <w:pPr>
        <w:pStyle w:val="afa"/>
        <w:spacing w:line="240" w:lineRule="auto"/>
        <w:ind w:firstLine="48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=ω+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q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</m:oMath>
      </m:oMathPara>
    </w:p>
    <w:p w14:paraId="79650FCF" w14:textId="7CFB5EF1" w:rsidR="00E740C3" w:rsidRPr="00FB4B07" w:rsidRDefault="00E740C3" w:rsidP="00FB4B07">
      <w:pPr>
        <w:pStyle w:val="afa"/>
        <w:ind w:firstLine="480"/>
      </w:pPr>
      <w:r w:rsidRPr="00FB4B07">
        <w:rPr>
          <w:rFonts w:hint="eastAsia"/>
        </w:rPr>
        <w:t>可以证明，对于一个</w:t>
      </w:r>
      <w:r w:rsidRPr="00FB4B07">
        <w:t>GARCH(p,q)</w:t>
      </w:r>
      <w:r w:rsidRPr="00FB4B07">
        <w:rPr>
          <w:rFonts w:hint="eastAsia"/>
        </w:rPr>
        <w:t>模型可以等价地写作一个</w:t>
      </w:r>
      <w:r w:rsidRPr="00FB4B07">
        <w:t>ARCH(</w:t>
      </w:r>
      <m:oMath>
        <m:r>
          <m:rPr>
            <m:sty m:val="p"/>
          </m:rPr>
          <w:rPr>
            <w:rFonts w:ascii="Cambria Math" w:hAnsi="Cambria Math"/>
          </w:rPr>
          <m:t>∞</m:t>
        </m:r>
      </m:oMath>
      <w:r w:rsidRPr="00FB4B07">
        <w:t>)</w:t>
      </w:r>
      <w:r w:rsidRPr="00FB4B07">
        <w:rPr>
          <w:rFonts w:hint="eastAsia"/>
        </w:rPr>
        <w:t>模型。故在通常情况下拟合一个</w:t>
      </w:r>
      <w:r w:rsidRPr="00FB4B07">
        <w:rPr>
          <w:rFonts w:hint="eastAsia"/>
        </w:rPr>
        <w:t>GARCH</w:t>
      </w:r>
      <w:r w:rsidRPr="00FB4B07">
        <w:t>(1,1)</w:t>
      </w:r>
      <w:r w:rsidRPr="00FB4B07">
        <w:rPr>
          <w:rFonts w:hint="eastAsia"/>
        </w:rPr>
        <w:t>即可满足模型的相应需求。</w:t>
      </w:r>
    </w:p>
    <w:p w14:paraId="45B89A52" w14:textId="376D22AD" w:rsidR="00683794" w:rsidRDefault="00683794" w:rsidP="00683794">
      <w:pPr>
        <w:pStyle w:val="a0"/>
      </w:pPr>
      <w:r>
        <w:rPr>
          <w:rFonts w:hint="eastAsia"/>
        </w:rPr>
        <w:t>模型</w:t>
      </w:r>
      <w:r w:rsidR="00114104">
        <w:rPr>
          <w:rFonts w:hint="eastAsia"/>
        </w:rPr>
        <w:t>估计</w:t>
      </w:r>
    </w:p>
    <w:p w14:paraId="1EEB75EB" w14:textId="77777777" w:rsidR="00FB4B07" w:rsidRDefault="002D28DC" w:rsidP="002D28DC">
      <w:pPr>
        <w:pStyle w:val="afa"/>
        <w:ind w:firstLine="480"/>
      </w:pPr>
      <w:r>
        <w:rPr>
          <w:rFonts w:hint="eastAsia"/>
        </w:rPr>
        <w:lastRenderedPageBreak/>
        <w:t>在模型拟合估计中，进一步假定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为独立同分布与标准正态分布，</w:t>
      </w:r>
      <w:r w:rsidR="000E0C98">
        <w:rPr>
          <w:rFonts w:hint="eastAsia"/>
        </w:rPr>
        <w:t>综合</w:t>
      </w:r>
      <w:r>
        <w:rPr>
          <w:rFonts w:hint="eastAsia"/>
        </w:rPr>
        <w:t>采用极大似然</w:t>
      </w:r>
      <w:r w:rsidR="000E0C98">
        <w:rPr>
          <w:rFonts w:hint="eastAsia"/>
        </w:rPr>
        <w:t>（</w:t>
      </w:r>
      <w:r w:rsidR="000E0C98">
        <w:rPr>
          <w:rFonts w:hint="eastAsia"/>
        </w:rPr>
        <w:t>MLE</w:t>
      </w:r>
      <w:r w:rsidR="000E0C98">
        <w:rPr>
          <w:rFonts w:hint="eastAsia"/>
        </w:rPr>
        <w:t>）以及伪极大似然（</w:t>
      </w:r>
      <w:r w:rsidR="000E0C98">
        <w:rPr>
          <w:rFonts w:hint="eastAsia"/>
        </w:rPr>
        <w:t>Quasi</w:t>
      </w:r>
      <w:r w:rsidR="000E0C98">
        <w:t>-</w:t>
      </w:r>
      <w:r w:rsidR="000E0C98">
        <w:rPr>
          <w:rFonts w:hint="eastAsia"/>
        </w:rPr>
        <w:t>MLE</w:t>
      </w:r>
      <w:r w:rsidR="000E0C98">
        <w:rPr>
          <w:rFonts w:hint="eastAsia"/>
        </w:rPr>
        <w:t>）</w:t>
      </w:r>
      <w:r>
        <w:rPr>
          <w:rFonts w:hint="eastAsia"/>
        </w:rPr>
        <w:t>准则进行拟合估计。</w:t>
      </w:r>
    </w:p>
    <w:p w14:paraId="19263DA5" w14:textId="07D55A07" w:rsidR="002D28DC" w:rsidRDefault="00967EC5" w:rsidP="002D28DC">
      <w:pPr>
        <w:pStyle w:val="afa"/>
        <w:ind w:firstLine="480"/>
      </w:pPr>
      <w:r>
        <w:rPr>
          <w:rFonts w:hint="eastAsia"/>
        </w:rPr>
        <w:t>在</w:t>
      </w:r>
      <w:r>
        <w:t>ARCH(1)</w:t>
      </w:r>
      <w:r>
        <w:rPr>
          <w:rFonts w:hint="eastAsia"/>
        </w:rPr>
        <w:t>的模型估计中，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系数对应的</w:t>
      </w:r>
      <w:r>
        <w:rPr>
          <w:rFonts w:hint="eastAsia"/>
        </w:rPr>
        <w:t>p</w:t>
      </w:r>
      <w:r>
        <w:rPr>
          <w:rFonts w:hint="eastAsia"/>
        </w:rPr>
        <w:t>值为</w:t>
      </w:r>
      <w:r w:rsidR="00B23721" w:rsidRPr="00B23721">
        <w:t>0.</w:t>
      </w:r>
      <w:r w:rsidR="00B23721">
        <w:t>610</w:t>
      </w:r>
      <w:r w:rsidR="00B23721">
        <w:rPr>
          <w:rFonts w:hint="eastAsia"/>
        </w:rPr>
        <w:t>，在</w:t>
      </w:r>
      <w:r w:rsidR="00B23721">
        <w:t>5%</w:t>
      </w:r>
      <w:r w:rsidR="00CF1837">
        <w:rPr>
          <w:rFonts w:hint="eastAsia"/>
        </w:rPr>
        <w:t>的水平下是不显著的。</w:t>
      </w:r>
      <w:r w:rsidR="007161A3">
        <w:rPr>
          <w:rFonts w:hint="eastAsia"/>
        </w:rPr>
        <w:t>在</w:t>
      </w:r>
      <w:r w:rsidR="007161A3">
        <w:rPr>
          <w:rFonts w:hint="eastAsia"/>
        </w:rPr>
        <w:t>ARCH</w:t>
      </w:r>
      <w:r w:rsidR="007161A3">
        <w:t>(13)</w:t>
      </w:r>
      <w:r w:rsidR="007161A3">
        <w:rPr>
          <w:rFonts w:hint="eastAsia"/>
        </w:rPr>
        <w:t>的模型估计中</w:t>
      </w:r>
      <w:r w:rsidR="007877C7">
        <w:rPr>
          <w:rFonts w:hint="eastAsia"/>
        </w:rPr>
        <w:t>5</w:t>
      </w:r>
      <w:r w:rsidR="007877C7">
        <w:t>%</w:t>
      </w:r>
      <w:r w:rsidR="007877C7">
        <w:rPr>
          <w:rFonts w:hint="eastAsia"/>
        </w:rPr>
        <w:t>水平显著的系数主要集中于前四阶中，且较高阶数项的系数基本趋近于</w:t>
      </w:r>
      <w:r w:rsidR="007877C7">
        <w:rPr>
          <w:rFonts w:hint="eastAsia"/>
        </w:rPr>
        <w:t>0</w:t>
      </w:r>
      <w:r w:rsidR="007877C7">
        <w:rPr>
          <w:rFonts w:hint="eastAsia"/>
        </w:rPr>
        <w:t>。</w:t>
      </w:r>
      <w:r w:rsidR="00C304E9">
        <w:rPr>
          <w:rFonts w:hint="eastAsia"/>
        </w:rPr>
        <w:t>尝试拟合</w:t>
      </w:r>
      <w:r w:rsidR="00C304E9">
        <w:t>ARCH(2)</w:t>
      </w:r>
      <w:r w:rsidR="006D580F">
        <w:rPr>
          <w:rFonts w:hint="eastAsia"/>
        </w:rPr>
        <w:t>，经计算发现其各阶系数显著性表现良好，具体结果展示如下表</w:t>
      </w:r>
      <w:r w:rsidR="006D580F">
        <w:rPr>
          <w:rFonts w:hint="eastAsia"/>
        </w:rPr>
        <w:t>2</w:t>
      </w:r>
      <w:r w:rsidR="006D580F">
        <w:rPr>
          <w:rFonts w:hint="eastAsia"/>
        </w:rPr>
        <w:t>所示。综合上述内容，暂定拟合该</w:t>
      </w:r>
      <w:r w:rsidR="006D580F">
        <w:rPr>
          <w:rFonts w:hint="eastAsia"/>
        </w:rPr>
        <w:t>ARCH</w:t>
      </w:r>
      <w:r w:rsidR="006D580F">
        <w:t>(2)</w:t>
      </w:r>
      <w:r w:rsidR="006D580F">
        <w:rPr>
          <w:rFonts w:hint="eastAsia"/>
        </w:rPr>
        <w:t>模型。</w:t>
      </w:r>
    </w:p>
    <w:p w14:paraId="00E7461E" w14:textId="0EE961E0" w:rsidR="00FB4B07" w:rsidRPr="00E17A3B" w:rsidRDefault="00FB4B07" w:rsidP="002D28DC">
      <w:pPr>
        <w:pStyle w:val="afa"/>
        <w:ind w:firstLine="480"/>
        <w:rPr>
          <w:rFonts w:hint="eastAsia"/>
        </w:rPr>
      </w:pPr>
      <w:r>
        <w:rPr>
          <w:rFonts w:hint="eastAsia"/>
        </w:rPr>
        <w:t>此外</w:t>
      </w:r>
      <w:r>
        <w:rPr>
          <w:rFonts w:hint="eastAsia"/>
        </w:rPr>
        <w:t>GARCH</w:t>
      </w:r>
      <w:r>
        <w:t>(1,1)</w:t>
      </w:r>
      <w:r>
        <w:rPr>
          <w:rFonts w:hint="eastAsia"/>
        </w:rPr>
        <w:t>模型</w:t>
      </w:r>
      <w:r w:rsidR="00EA0720">
        <w:rPr>
          <w:rFonts w:hint="eastAsia"/>
        </w:rPr>
        <w:t>也基本较好的进行了拟合，具体结果如表</w:t>
      </w:r>
      <w:r w:rsidR="00EA0720">
        <w:rPr>
          <w:rFonts w:hint="eastAsia"/>
        </w:rPr>
        <w:t>3</w:t>
      </w:r>
      <w:r w:rsidR="00EA0720">
        <w:rPr>
          <w:rFonts w:hint="eastAsia"/>
        </w:rPr>
        <w:t>所示。</w:t>
      </w:r>
      <w:r w:rsidR="00E17A3B">
        <w:rPr>
          <w:rFonts w:hint="eastAsia"/>
        </w:rPr>
        <w:t>两模型对应信息准则</w:t>
      </w:r>
      <w:r w:rsidR="00E17A3B">
        <w:rPr>
          <w:rFonts w:hint="eastAsia"/>
        </w:rPr>
        <w:t>ARCH</w:t>
      </w:r>
      <w:r w:rsidR="00E17A3B">
        <w:t>(2)</w:t>
      </w:r>
      <w:r w:rsidR="00E17A3B">
        <w:rPr>
          <w:rFonts w:hint="eastAsia"/>
        </w:rPr>
        <w:t>表现整体略优于</w:t>
      </w:r>
      <w:r w:rsidR="00E17A3B">
        <w:rPr>
          <w:rFonts w:hint="eastAsia"/>
        </w:rPr>
        <w:t>GARCH</w:t>
      </w:r>
      <w:r w:rsidR="00E17A3B">
        <w:t>(1,1)</w:t>
      </w:r>
      <w:r w:rsidR="00E17A3B">
        <w:rPr>
          <w:rFonts w:hint="eastAsia"/>
        </w:rPr>
        <w:t>，但差距较小。</w:t>
      </w:r>
    </w:p>
    <w:p w14:paraId="581AFB48" w14:textId="67C92D38" w:rsidR="00883F0E" w:rsidRDefault="00883F0E" w:rsidP="00883F0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B4B0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ARCH</w:t>
      </w:r>
      <w:r>
        <w:t>(2)</w:t>
      </w:r>
      <w:r>
        <w:rPr>
          <w:rFonts w:hint="eastAsia"/>
        </w:rPr>
        <w:t>模型</w:t>
      </w:r>
      <w:r w:rsidR="00FB4B07">
        <w:rPr>
          <w:rFonts w:hint="eastAsia"/>
        </w:rPr>
        <w:t>拟合结果</w:t>
      </w:r>
    </w:p>
    <w:tbl>
      <w:tblPr>
        <w:tblStyle w:val="11"/>
        <w:tblW w:w="5000" w:type="pct"/>
        <w:jc w:val="center"/>
        <w:tblLook w:val="04A0" w:firstRow="1" w:lastRow="0" w:firstColumn="1" w:lastColumn="0" w:noHBand="0" w:noVBand="1"/>
      </w:tblPr>
      <w:tblGrid>
        <w:gridCol w:w="3008"/>
        <w:gridCol w:w="3008"/>
        <w:gridCol w:w="3010"/>
      </w:tblGrid>
      <w:tr w:rsidR="00883F0E" w14:paraId="00C6A005" w14:textId="77777777" w:rsidTr="00883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66" w:type="pct"/>
          </w:tcPr>
          <w:p w14:paraId="51E19C97" w14:textId="16F5C85E" w:rsidR="00883F0E" w:rsidRP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666" w:type="pct"/>
          </w:tcPr>
          <w:p w14:paraId="57411CBA" w14:textId="0CB498CB" w:rsidR="00883F0E" w:rsidRP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估计值</w:t>
            </w:r>
          </w:p>
        </w:tc>
        <w:tc>
          <w:tcPr>
            <w:tcW w:w="1667" w:type="pct"/>
          </w:tcPr>
          <w:p w14:paraId="76BE621B" w14:textId="77D356F4" w:rsidR="00883F0E" w:rsidRP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p</w:t>
            </w:r>
            <w:r w:rsidRPr="00883F0E">
              <w:rPr>
                <w:b/>
                <w:bCs/>
              </w:rPr>
              <w:t>-</w:t>
            </w:r>
            <w:r w:rsidRPr="00883F0E">
              <w:rPr>
                <w:rFonts w:hint="eastAsia"/>
                <w:b/>
                <w:bCs/>
              </w:rPr>
              <w:t>value</w:t>
            </w:r>
          </w:p>
        </w:tc>
      </w:tr>
      <w:tr w:rsidR="00883F0E" w14:paraId="1430D41D" w14:textId="77777777" w:rsidTr="00883F0E">
        <w:trPr>
          <w:jc w:val="center"/>
        </w:trPr>
        <w:tc>
          <w:tcPr>
            <w:tcW w:w="1666" w:type="pct"/>
          </w:tcPr>
          <w:p w14:paraId="5EF59D2E" w14:textId="1A64E423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1666" w:type="pct"/>
          </w:tcPr>
          <w:p w14:paraId="0F9BE4DA" w14:textId="27E5FC11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883F0E">
              <w:t>0.006524</w:t>
            </w:r>
          </w:p>
        </w:tc>
        <w:tc>
          <w:tcPr>
            <w:tcW w:w="1667" w:type="pct"/>
          </w:tcPr>
          <w:p w14:paraId="5EF911E8" w14:textId="358F215D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883F0E">
              <w:t>0.007728</w:t>
            </w:r>
            <w:r>
              <w:rPr>
                <w:rFonts w:hint="eastAsia"/>
              </w:rPr>
              <w:t xml:space="preserve"> </w:t>
            </w:r>
            <w:r>
              <w:t>(**)</w:t>
            </w:r>
          </w:p>
        </w:tc>
      </w:tr>
      <w:tr w:rsidR="00883F0E" w14:paraId="367520CF" w14:textId="77777777" w:rsidTr="00883F0E">
        <w:trPr>
          <w:jc w:val="center"/>
        </w:trPr>
        <w:tc>
          <w:tcPr>
            <w:tcW w:w="1666" w:type="pct"/>
          </w:tcPr>
          <w:p w14:paraId="3046266A" w14:textId="088BB8B3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1666" w:type="pct"/>
          </w:tcPr>
          <w:p w14:paraId="0E3C8E19" w14:textId="45584D14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883F0E">
              <w:t>0.001336</w:t>
            </w:r>
          </w:p>
        </w:tc>
        <w:tc>
          <w:tcPr>
            <w:tcW w:w="1667" w:type="pct"/>
          </w:tcPr>
          <w:p w14:paraId="41B4217A" w14:textId="746953A6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.000000 (**)</w:t>
            </w:r>
          </w:p>
        </w:tc>
      </w:tr>
      <w:tr w:rsidR="00883F0E" w14:paraId="16A9E6A6" w14:textId="77777777" w:rsidTr="00883F0E">
        <w:trPr>
          <w:jc w:val="center"/>
        </w:trPr>
        <w:tc>
          <w:tcPr>
            <w:tcW w:w="1666" w:type="pct"/>
          </w:tcPr>
          <w:p w14:paraId="467876B9" w14:textId="2AF0B1E9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166F62AA" w14:textId="0839AA55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883F0E">
              <w:t>0.115932</w:t>
            </w:r>
          </w:p>
        </w:tc>
        <w:tc>
          <w:tcPr>
            <w:tcW w:w="1667" w:type="pct"/>
          </w:tcPr>
          <w:p w14:paraId="1A53A9E8" w14:textId="2170EEB6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883F0E">
              <w:t>0.053249</w:t>
            </w:r>
            <w:r>
              <w:t xml:space="preserve"> (*)</w:t>
            </w:r>
          </w:p>
        </w:tc>
      </w:tr>
      <w:tr w:rsidR="00883F0E" w14:paraId="25444B95" w14:textId="77777777" w:rsidTr="00883F0E">
        <w:trPr>
          <w:jc w:val="center"/>
        </w:trPr>
        <w:tc>
          <w:tcPr>
            <w:tcW w:w="1666" w:type="pct"/>
          </w:tcPr>
          <w:p w14:paraId="0F023F15" w14:textId="2352BDDA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643AB4C3" w14:textId="0DFF291C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883F0E">
              <w:t>0.214787</w:t>
            </w:r>
          </w:p>
        </w:tc>
        <w:tc>
          <w:tcPr>
            <w:tcW w:w="1667" w:type="pct"/>
          </w:tcPr>
          <w:p w14:paraId="39524C42" w14:textId="77B7437F" w:rsidR="00883F0E" w:rsidRDefault="00883F0E" w:rsidP="00883F0E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883F0E">
              <w:t>0.020953</w:t>
            </w:r>
            <w:r>
              <w:t xml:space="preserve"> (**)</w:t>
            </w:r>
          </w:p>
        </w:tc>
      </w:tr>
    </w:tbl>
    <w:p w14:paraId="793E7CD0" w14:textId="0FDDCB7C" w:rsidR="00E509BE" w:rsidRDefault="00883F0E" w:rsidP="00AD0F79">
      <w:pPr>
        <w:rPr>
          <w:rFonts w:hint="eastAsia"/>
          <w:sz w:val="18"/>
          <w:szCs w:val="21"/>
        </w:rPr>
      </w:pPr>
      <w:r w:rsidRPr="002846CA">
        <w:rPr>
          <w:rFonts w:hint="eastAsia"/>
          <w:sz w:val="18"/>
          <w:szCs w:val="21"/>
        </w:rPr>
        <w:t>注：</w:t>
      </w:r>
      <w:r w:rsidRPr="002846CA">
        <w:rPr>
          <w:rFonts w:hint="eastAsia"/>
          <w:sz w:val="18"/>
          <w:szCs w:val="21"/>
        </w:rPr>
        <w:t>*</w:t>
      </w:r>
      <w:r w:rsidRPr="002846CA">
        <w:rPr>
          <w:sz w:val="18"/>
          <w:szCs w:val="21"/>
        </w:rPr>
        <w:t>*</w:t>
      </w:r>
      <w:r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5</w:t>
      </w:r>
      <w:r w:rsidRPr="002846CA">
        <w:rPr>
          <w:sz w:val="18"/>
          <w:szCs w:val="21"/>
        </w:rPr>
        <w:t>%</w:t>
      </w:r>
      <w:r w:rsidRPr="002846CA">
        <w:rPr>
          <w:rFonts w:hint="eastAsia"/>
          <w:sz w:val="18"/>
          <w:szCs w:val="21"/>
        </w:rPr>
        <w:t>显著</w:t>
      </w:r>
      <w:r>
        <w:rPr>
          <w:rFonts w:hint="eastAsia"/>
          <w:sz w:val="18"/>
          <w:szCs w:val="21"/>
        </w:rPr>
        <w:t>水平</w:t>
      </w:r>
      <w:r w:rsidRPr="002846CA">
        <w:rPr>
          <w:rFonts w:hint="eastAsia"/>
          <w:sz w:val="18"/>
          <w:szCs w:val="21"/>
        </w:rPr>
        <w:t>，</w:t>
      </w:r>
      <w:r w:rsidRPr="002846CA">
        <w:rPr>
          <w:rFonts w:hint="eastAsia"/>
          <w:sz w:val="18"/>
          <w:szCs w:val="21"/>
        </w:rPr>
        <w:t>*</w:t>
      </w:r>
      <w:r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1</w:t>
      </w:r>
      <w:r w:rsidRPr="002846CA">
        <w:rPr>
          <w:sz w:val="18"/>
          <w:szCs w:val="21"/>
        </w:rPr>
        <w:t>0</w:t>
      </w:r>
      <w:r>
        <w:rPr>
          <w:sz w:val="18"/>
          <w:szCs w:val="21"/>
        </w:rPr>
        <w:t>%</w:t>
      </w:r>
      <w:r>
        <w:rPr>
          <w:rFonts w:hint="eastAsia"/>
          <w:sz w:val="18"/>
          <w:szCs w:val="21"/>
        </w:rPr>
        <w:t>显著水平</w:t>
      </w:r>
      <w:r w:rsidR="000664AB">
        <w:rPr>
          <w:rFonts w:hint="eastAsia"/>
          <w:sz w:val="18"/>
          <w:szCs w:val="21"/>
        </w:rPr>
        <w:t>；对应信息准则：</w:t>
      </w:r>
      <w:r w:rsidR="000664AB">
        <w:rPr>
          <w:sz w:val="18"/>
          <w:szCs w:val="21"/>
        </w:rPr>
        <w:t>AIC = -3.4022</w:t>
      </w:r>
      <w:r w:rsidR="000664AB">
        <w:rPr>
          <w:rFonts w:hint="eastAsia"/>
          <w:sz w:val="18"/>
          <w:szCs w:val="21"/>
        </w:rPr>
        <w:t>,</w:t>
      </w:r>
      <w:r w:rsidR="000664AB">
        <w:rPr>
          <w:sz w:val="18"/>
          <w:szCs w:val="21"/>
        </w:rPr>
        <w:t xml:space="preserve"> </w:t>
      </w:r>
      <w:r w:rsidR="000664AB">
        <w:rPr>
          <w:rFonts w:hint="eastAsia"/>
          <w:sz w:val="18"/>
          <w:szCs w:val="21"/>
        </w:rPr>
        <w:t>BIC</w:t>
      </w:r>
      <w:r w:rsidR="000664AB">
        <w:rPr>
          <w:sz w:val="18"/>
          <w:szCs w:val="21"/>
        </w:rPr>
        <w:t xml:space="preserve"> = </w:t>
      </w:r>
      <w:r w:rsidR="00875B89">
        <w:rPr>
          <w:sz w:val="18"/>
          <w:szCs w:val="21"/>
        </w:rPr>
        <w:t>-3.3444</w:t>
      </w:r>
    </w:p>
    <w:p w14:paraId="36A3F84E" w14:textId="2F8BAF01" w:rsidR="00FB4B07" w:rsidRDefault="00FB4B07" w:rsidP="00FB4B07">
      <w:pPr>
        <w:pStyle w:val="a5"/>
        <w:keepNext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GARCH</w:t>
      </w:r>
      <w:r>
        <w:t>(1,1)</w:t>
      </w:r>
      <w:r>
        <w:rPr>
          <w:rFonts w:hint="eastAsia"/>
        </w:rPr>
        <w:t xml:space="preserve"> </w:t>
      </w:r>
      <w:r>
        <w:rPr>
          <w:rFonts w:hint="eastAsia"/>
        </w:rPr>
        <w:t>模型拟合结果</w:t>
      </w:r>
    </w:p>
    <w:tbl>
      <w:tblPr>
        <w:tblStyle w:val="11"/>
        <w:tblW w:w="5000" w:type="pct"/>
        <w:jc w:val="center"/>
        <w:tblLook w:val="04A0" w:firstRow="1" w:lastRow="0" w:firstColumn="1" w:lastColumn="0" w:noHBand="0" w:noVBand="1"/>
      </w:tblPr>
      <w:tblGrid>
        <w:gridCol w:w="3008"/>
        <w:gridCol w:w="3008"/>
        <w:gridCol w:w="3010"/>
      </w:tblGrid>
      <w:tr w:rsidR="00FB4B07" w14:paraId="050E626E" w14:textId="77777777" w:rsidTr="00474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666" w:type="pct"/>
          </w:tcPr>
          <w:p w14:paraId="5BE1864E" w14:textId="77777777" w:rsidR="00FB4B07" w:rsidRPr="00883F0E" w:rsidRDefault="00FB4B07" w:rsidP="004746E3">
            <w:pPr>
              <w:pStyle w:val="afa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666" w:type="pct"/>
          </w:tcPr>
          <w:p w14:paraId="75EA3E3E" w14:textId="77777777" w:rsidR="00FB4B07" w:rsidRPr="00883F0E" w:rsidRDefault="00FB4B07" w:rsidP="004746E3">
            <w:pPr>
              <w:pStyle w:val="afa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估计值</w:t>
            </w:r>
          </w:p>
        </w:tc>
        <w:tc>
          <w:tcPr>
            <w:tcW w:w="1667" w:type="pct"/>
          </w:tcPr>
          <w:p w14:paraId="3662BD8C" w14:textId="77777777" w:rsidR="00FB4B07" w:rsidRPr="00883F0E" w:rsidRDefault="00FB4B07" w:rsidP="004746E3">
            <w:pPr>
              <w:pStyle w:val="afa"/>
              <w:ind w:firstLineChars="0" w:firstLine="0"/>
              <w:jc w:val="center"/>
              <w:rPr>
                <w:rFonts w:hint="eastAsia"/>
                <w:b/>
                <w:bCs/>
              </w:rPr>
            </w:pPr>
            <w:r w:rsidRPr="00883F0E">
              <w:rPr>
                <w:rFonts w:hint="eastAsia"/>
                <w:b/>
                <w:bCs/>
              </w:rPr>
              <w:t>p</w:t>
            </w:r>
            <w:r w:rsidRPr="00883F0E">
              <w:rPr>
                <w:b/>
                <w:bCs/>
              </w:rPr>
              <w:t>-</w:t>
            </w:r>
            <w:r w:rsidRPr="00883F0E">
              <w:rPr>
                <w:rFonts w:hint="eastAsia"/>
                <w:b/>
                <w:bCs/>
              </w:rPr>
              <w:t>value</w:t>
            </w:r>
          </w:p>
        </w:tc>
      </w:tr>
      <w:tr w:rsidR="00FB4B07" w14:paraId="00E9B886" w14:textId="77777777" w:rsidTr="004746E3">
        <w:trPr>
          <w:jc w:val="center"/>
        </w:trPr>
        <w:tc>
          <w:tcPr>
            <w:tcW w:w="1666" w:type="pct"/>
          </w:tcPr>
          <w:p w14:paraId="13E2BCC7" w14:textId="77777777" w:rsidR="00FB4B07" w:rsidRDefault="00FB4B07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1666" w:type="pct"/>
          </w:tcPr>
          <w:p w14:paraId="7C70D536" w14:textId="0FD84C82" w:rsidR="00FB4B07" w:rsidRDefault="009D3295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9D3295">
              <w:t>0.005962</w:t>
            </w:r>
          </w:p>
        </w:tc>
        <w:tc>
          <w:tcPr>
            <w:tcW w:w="1667" w:type="pct"/>
          </w:tcPr>
          <w:p w14:paraId="0FB07E4B" w14:textId="58C827F7" w:rsidR="00FB4B07" w:rsidRDefault="009D3295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9D3295">
              <w:t>0.009521</w:t>
            </w:r>
            <w:r w:rsidR="00FB4B07">
              <w:rPr>
                <w:rFonts w:hint="eastAsia"/>
              </w:rPr>
              <w:t xml:space="preserve"> </w:t>
            </w:r>
            <w:r w:rsidR="00FB4B07">
              <w:t>(**)</w:t>
            </w:r>
          </w:p>
        </w:tc>
      </w:tr>
      <w:tr w:rsidR="00FB4B07" w14:paraId="141457B4" w14:textId="77777777" w:rsidTr="004746E3">
        <w:trPr>
          <w:jc w:val="center"/>
        </w:trPr>
        <w:tc>
          <w:tcPr>
            <w:tcW w:w="1666" w:type="pct"/>
          </w:tcPr>
          <w:p w14:paraId="2158A5C7" w14:textId="77777777" w:rsidR="00FB4B07" w:rsidRDefault="00FB4B07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1666" w:type="pct"/>
          </w:tcPr>
          <w:p w14:paraId="60DC8681" w14:textId="6590614C" w:rsidR="00FB4B07" w:rsidRDefault="009D3295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9D3295">
              <w:t>0.000111</w:t>
            </w:r>
          </w:p>
        </w:tc>
        <w:tc>
          <w:tcPr>
            <w:tcW w:w="1667" w:type="pct"/>
          </w:tcPr>
          <w:p w14:paraId="0720E596" w14:textId="063AB026" w:rsidR="00FB4B07" w:rsidRDefault="009D3295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9D3295">
              <w:t>0.1553885</w:t>
            </w:r>
            <w:r w:rsidR="00FB4B07">
              <w:t xml:space="preserve"> </w:t>
            </w:r>
          </w:p>
        </w:tc>
      </w:tr>
      <w:tr w:rsidR="00FB4B07" w14:paraId="4F3A0460" w14:textId="77777777" w:rsidTr="004746E3">
        <w:trPr>
          <w:jc w:val="center"/>
        </w:trPr>
        <w:tc>
          <w:tcPr>
            <w:tcW w:w="1666" w:type="pct"/>
          </w:tcPr>
          <w:p w14:paraId="6B754E4F" w14:textId="77777777" w:rsidR="00FB4B07" w:rsidRDefault="00FB4B07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0E4A1634" w14:textId="345EAA2C" w:rsidR="00FB4B07" w:rsidRDefault="009D3295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9D3295">
              <w:t>0.178534</w:t>
            </w:r>
          </w:p>
        </w:tc>
        <w:tc>
          <w:tcPr>
            <w:tcW w:w="1667" w:type="pct"/>
          </w:tcPr>
          <w:p w14:paraId="4B4272C6" w14:textId="65D4A8C8" w:rsidR="00FB4B07" w:rsidRDefault="009D3295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9D3295">
              <w:t>0.0056345</w:t>
            </w:r>
            <w:r w:rsidR="00FB4B07">
              <w:t xml:space="preserve"> (*</w:t>
            </w:r>
            <w:r>
              <w:t>*</w:t>
            </w:r>
            <w:r w:rsidR="00FB4B07">
              <w:t>)</w:t>
            </w:r>
          </w:p>
        </w:tc>
      </w:tr>
      <w:tr w:rsidR="00FB4B07" w14:paraId="1000AC02" w14:textId="77777777" w:rsidTr="004746E3">
        <w:trPr>
          <w:jc w:val="center"/>
        </w:trPr>
        <w:tc>
          <w:tcPr>
            <w:tcW w:w="1666" w:type="pct"/>
          </w:tcPr>
          <w:p w14:paraId="7FC6A6AC" w14:textId="710241BA" w:rsidR="00FB4B07" w:rsidRDefault="009D3295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02F4FF7C" w14:textId="27E4F49F" w:rsidR="00FB4B07" w:rsidRDefault="009D3295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 w:rsidRPr="009D3295">
              <w:t>0.776987</w:t>
            </w:r>
          </w:p>
        </w:tc>
        <w:tc>
          <w:tcPr>
            <w:tcW w:w="1667" w:type="pct"/>
          </w:tcPr>
          <w:p w14:paraId="0BF9FA36" w14:textId="08768102" w:rsidR="00FB4B07" w:rsidRDefault="009D3295" w:rsidP="004746E3">
            <w:pPr>
              <w:pStyle w:val="afa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.000000</w:t>
            </w:r>
            <w:r w:rsidR="00FB4B07">
              <w:t xml:space="preserve"> (**)</w:t>
            </w:r>
          </w:p>
        </w:tc>
      </w:tr>
    </w:tbl>
    <w:p w14:paraId="3107D15B" w14:textId="74F1D3B5" w:rsidR="00FB4B07" w:rsidRPr="00C26C7B" w:rsidRDefault="009D3295" w:rsidP="00FB4B07">
      <w:pPr>
        <w:rPr>
          <w:rFonts w:hint="eastAsia"/>
          <w:sz w:val="18"/>
          <w:szCs w:val="21"/>
        </w:rPr>
      </w:pPr>
      <w:r w:rsidRPr="002846CA">
        <w:rPr>
          <w:rFonts w:hint="eastAsia"/>
          <w:sz w:val="18"/>
          <w:szCs w:val="21"/>
        </w:rPr>
        <w:t>注：</w:t>
      </w:r>
      <w:r w:rsidRPr="002846CA">
        <w:rPr>
          <w:rFonts w:hint="eastAsia"/>
          <w:sz w:val="18"/>
          <w:szCs w:val="21"/>
        </w:rPr>
        <w:t>*</w:t>
      </w:r>
      <w:r w:rsidRPr="002846CA">
        <w:rPr>
          <w:sz w:val="18"/>
          <w:szCs w:val="21"/>
        </w:rPr>
        <w:t>*</w:t>
      </w:r>
      <w:r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5</w:t>
      </w:r>
      <w:r w:rsidRPr="002846CA">
        <w:rPr>
          <w:sz w:val="18"/>
          <w:szCs w:val="21"/>
        </w:rPr>
        <w:t>%</w:t>
      </w:r>
      <w:r w:rsidRPr="002846CA">
        <w:rPr>
          <w:rFonts w:hint="eastAsia"/>
          <w:sz w:val="18"/>
          <w:szCs w:val="21"/>
        </w:rPr>
        <w:t>显著</w:t>
      </w:r>
      <w:r>
        <w:rPr>
          <w:rFonts w:hint="eastAsia"/>
          <w:sz w:val="18"/>
          <w:szCs w:val="21"/>
        </w:rPr>
        <w:t>水平</w:t>
      </w:r>
      <w:r w:rsidRPr="002846CA">
        <w:rPr>
          <w:rFonts w:hint="eastAsia"/>
          <w:sz w:val="18"/>
          <w:szCs w:val="21"/>
        </w:rPr>
        <w:t>，</w:t>
      </w:r>
      <w:r w:rsidRPr="002846CA">
        <w:rPr>
          <w:rFonts w:hint="eastAsia"/>
          <w:sz w:val="18"/>
          <w:szCs w:val="21"/>
        </w:rPr>
        <w:t>*</w:t>
      </w:r>
      <w:r>
        <w:rPr>
          <w:rFonts w:hint="eastAsia"/>
          <w:sz w:val="18"/>
          <w:szCs w:val="21"/>
        </w:rPr>
        <w:t>对应</w:t>
      </w:r>
      <w:r w:rsidRPr="002846CA">
        <w:rPr>
          <w:rFonts w:hint="eastAsia"/>
          <w:sz w:val="18"/>
          <w:szCs w:val="21"/>
        </w:rPr>
        <w:t>1</w:t>
      </w:r>
      <w:r w:rsidRPr="002846CA">
        <w:rPr>
          <w:sz w:val="18"/>
          <w:szCs w:val="21"/>
        </w:rPr>
        <w:t>0</w:t>
      </w:r>
      <w:r>
        <w:rPr>
          <w:sz w:val="18"/>
          <w:szCs w:val="21"/>
        </w:rPr>
        <w:t>%</w:t>
      </w:r>
      <w:r>
        <w:rPr>
          <w:rFonts w:hint="eastAsia"/>
          <w:sz w:val="18"/>
          <w:szCs w:val="21"/>
        </w:rPr>
        <w:t>显著水平</w:t>
      </w:r>
      <w:r w:rsidR="00875B89">
        <w:rPr>
          <w:rFonts w:hint="eastAsia"/>
          <w:sz w:val="18"/>
          <w:szCs w:val="21"/>
        </w:rPr>
        <w:t>；对应信息准则：</w:t>
      </w:r>
      <w:r w:rsidR="00875B89">
        <w:rPr>
          <w:rFonts w:hint="eastAsia"/>
          <w:sz w:val="18"/>
          <w:szCs w:val="21"/>
        </w:rPr>
        <w:t>A</w:t>
      </w:r>
      <w:r w:rsidR="00875B89">
        <w:rPr>
          <w:sz w:val="18"/>
          <w:szCs w:val="21"/>
        </w:rPr>
        <w:t>IC = -3.4192, BIC = -3.3614</w:t>
      </w:r>
    </w:p>
    <w:p w14:paraId="0378A096" w14:textId="2C350CE1" w:rsidR="00974450" w:rsidRDefault="00974450" w:rsidP="00AD0F79">
      <w:pPr>
        <w:pStyle w:val="a0"/>
      </w:pPr>
      <w:r>
        <w:rPr>
          <w:rFonts w:hint="eastAsia"/>
        </w:rPr>
        <w:t>模型</w:t>
      </w:r>
      <w:r w:rsidR="00883F0E">
        <w:rPr>
          <w:rFonts w:hint="eastAsia"/>
        </w:rPr>
        <w:t>检验</w:t>
      </w:r>
      <w:r w:rsidR="00AD0F79">
        <w:rPr>
          <w:rFonts w:hint="eastAsia"/>
        </w:rPr>
        <w:t>与评估</w:t>
      </w:r>
    </w:p>
    <w:p w14:paraId="0721747A" w14:textId="47B7CCAF" w:rsidR="00774C69" w:rsidRDefault="00C75818" w:rsidP="00774C69">
      <w:pPr>
        <w:pStyle w:val="afa"/>
        <w:ind w:firstLine="480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rPr>
          <w:rFonts w:hint="eastAsia"/>
        </w:rPr>
        <w:t>，图</w:t>
      </w:r>
      <w:r>
        <w:rPr>
          <w:rFonts w:hint="eastAsia"/>
        </w:rPr>
        <w:t>9</w:t>
      </w:r>
      <w:r>
        <w:rPr>
          <w:rFonts w:hint="eastAsia"/>
        </w:rPr>
        <w:t>分别展示了</w:t>
      </w:r>
      <w:r>
        <w:t>ARCH(2)</w:t>
      </w:r>
      <w:r>
        <w:rPr>
          <w:rFonts w:hint="eastAsia"/>
        </w:rPr>
        <w:t>及</w:t>
      </w:r>
      <w:r>
        <w:rPr>
          <w:rFonts w:hint="eastAsia"/>
        </w:rPr>
        <w:t>GARCH</w:t>
      </w:r>
      <w:r>
        <w:t>(1,1)</w:t>
      </w:r>
      <w:r>
        <w:rPr>
          <w:rFonts w:hint="eastAsia"/>
        </w:rPr>
        <w:t>两模型建模的各个方面</w:t>
      </w:r>
      <w:r w:rsidR="004375C6">
        <w:rPr>
          <w:rFonts w:hint="eastAsia"/>
        </w:rPr>
        <w:t>拟合</w:t>
      </w:r>
      <w:r>
        <w:rPr>
          <w:rFonts w:hint="eastAsia"/>
        </w:rPr>
        <w:t>结果</w:t>
      </w:r>
      <w:r w:rsidR="00F627C2">
        <w:rPr>
          <w:rFonts w:hint="eastAsia"/>
        </w:rPr>
        <w:t>及残差分析。</w:t>
      </w:r>
      <w:r w:rsidR="002961D1">
        <w:rPr>
          <w:rFonts w:hint="eastAsia"/>
        </w:rPr>
        <w:t>为叙述方便，从左至右按行进行排序</w:t>
      </w:r>
      <w:r w:rsidR="00E837EA">
        <w:rPr>
          <w:rFonts w:hint="eastAsia"/>
        </w:rPr>
        <w:t>，依次</w:t>
      </w:r>
      <w:r w:rsidR="002961D1">
        <w:rPr>
          <w:rFonts w:hint="eastAsia"/>
        </w:rPr>
        <w:t>记作子图</w:t>
      </w:r>
      <w:r w:rsidR="002961D1">
        <w:rPr>
          <w:rFonts w:hint="eastAsia"/>
        </w:rPr>
        <w:t>1</w:t>
      </w:r>
      <w:r w:rsidR="002961D1">
        <w:rPr>
          <w:rFonts w:hint="eastAsia"/>
        </w:rPr>
        <w:t>～</w:t>
      </w:r>
      <w:r w:rsidR="002961D1">
        <w:rPr>
          <w:rFonts w:hint="eastAsia"/>
        </w:rPr>
        <w:t>1</w:t>
      </w:r>
      <w:r w:rsidR="002961D1">
        <w:t>2</w:t>
      </w:r>
      <w:r w:rsidR="002961D1">
        <w:rPr>
          <w:rFonts w:hint="eastAsia"/>
        </w:rPr>
        <w:t>。</w:t>
      </w:r>
    </w:p>
    <w:p w14:paraId="6D63BB4B" w14:textId="3ED4A55F" w:rsidR="00D02640" w:rsidRDefault="004158F6" w:rsidP="00D02640">
      <w:pPr>
        <w:pStyle w:val="afa"/>
        <w:ind w:firstLine="480"/>
      </w:pPr>
      <w:r>
        <w:rPr>
          <w:rFonts w:hint="eastAsia"/>
        </w:rPr>
        <w:t>对于</w:t>
      </w:r>
      <w:r>
        <w:rPr>
          <w:rFonts w:hint="eastAsia"/>
        </w:rPr>
        <w:t>ARCH</w:t>
      </w:r>
      <w:r>
        <w:t>(2)</w:t>
      </w:r>
      <w:r>
        <w:rPr>
          <w:rFonts w:hint="eastAsia"/>
        </w:rPr>
        <w:t>模型，</w:t>
      </w:r>
      <w:r w:rsidR="003F00F7">
        <w:rPr>
          <w:rFonts w:hint="eastAsia"/>
        </w:rPr>
        <w:t>子图</w:t>
      </w:r>
      <w:r w:rsidR="003F00F7">
        <w:rPr>
          <w:rFonts w:hint="eastAsia"/>
        </w:rPr>
        <w:t>1</w:t>
      </w:r>
      <w:r w:rsidR="003F00F7">
        <w:rPr>
          <w:rFonts w:hint="eastAsia"/>
        </w:rPr>
        <w:t>展示了序列数据及上下</w:t>
      </w:r>
      <w:r w:rsidR="000B54B1">
        <w:rPr>
          <w:rFonts w:hint="eastAsia"/>
        </w:rPr>
        <w:t>估计的</w:t>
      </w:r>
      <w:r w:rsidR="003F00F7">
        <w:rPr>
          <w:rFonts w:hint="eastAsia"/>
        </w:rPr>
        <w:t>两倍</w:t>
      </w:r>
      <w:r w:rsidR="006944BF">
        <w:rPr>
          <w:rFonts w:hint="eastAsia"/>
        </w:rPr>
        <w:t>条件</w:t>
      </w:r>
      <w:r w:rsidR="003F00F7">
        <w:rPr>
          <w:rFonts w:hint="eastAsia"/>
        </w:rPr>
        <w:t>标准差区间。</w:t>
      </w:r>
      <w:r w:rsidR="0004073A">
        <w:rPr>
          <w:rFonts w:hint="eastAsia"/>
        </w:rPr>
        <w:t>可见绝大多数的序列</w:t>
      </w:r>
      <w:r w:rsidR="00103930">
        <w:rPr>
          <w:rFonts w:hint="eastAsia"/>
        </w:rPr>
        <w:t>数据</w:t>
      </w:r>
      <w:r w:rsidR="00A62AE2">
        <w:rPr>
          <w:rFonts w:hint="eastAsia"/>
        </w:rPr>
        <w:t>均</w:t>
      </w:r>
      <w:r w:rsidR="0004073A">
        <w:rPr>
          <w:rFonts w:hint="eastAsia"/>
        </w:rPr>
        <w:t>落在了该区间之内</w:t>
      </w:r>
      <w:r w:rsidR="00BF6201">
        <w:rPr>
          <w:rFonts w:hint="eastAsia"/>
        </w:rPr>
        <w:t>，也说明了模型较充分地对波动率进行了拟合</w:t>
      </w:r>
      <w:r w:rsidR="0004073A">
        <w:rPr>
          <w:rFonts w:hint="eastAsia"/>
        </w:rPr>
        <w:t>。</w:t>
      </w:r>
      <w:r w:rsidR="00983C7F">
        <w:rPr>
          <w:rFonts w:hint="eastAsia"/>
        </w:rPr>
        <w:t>子图</w:t>
      </w:r>
      <w:r w:rsidR="00983C7F">
        <w:rPr>
          <w:rFonts w:hint="eastAsia"/>
        </w:rPr>
        <w:t>8</w:t>
      </w:r>
      <w:r w:rsidR="00983C7F">
        <w:rPr>
          <w:rFonts w:hint="eastAsia"/>
        </w:rPr>
        <w:t>展示标准化残差序列的分布直方图及标准正态分布对应的密度曲线</w:t>
      </w:r>
      <w:r w:rsidR="00D02640">
        <w:rPr>
          <w:rFonts w:hint="eastAsia"/>
        </w:rPr>
        <w:t>，子图</w:t>
      </w:r>
      <w:r w:rsidR="00D02640">
        <w:t>9</w:t>
      </w:r>
      <w:r w:rsidR="00D02640">
        <w:rPr>
          <w:rFonts w:hint="eastAsia"/>
        </w:rPr>
        <w:t>展示的对应的</w:t>
      </w:r>
      <w:r w:rsidR="00D02640">
        <w:rPr>
          <w:rFonts w:hint="eastAsia"/>
        </w:rPr>
        <w:t>Q</w:t>
      </w:r>
      <w:r w:rsidR="00D02640">
        <w:t>-</w:t>
      </w:r>
      <w:r w:rsidR="00D02640">
        <w:rPr>
          <w:rFonts w:hint="eastAsia"/>
        </w:rPr>
        <w:t>Q</w:t>
      </w:r>
      <w:r w:rsidR="00D02640">
        <w:rPr>
          <w:rFonts w:hint="eastAsia"/>
        </w:rPr>
        <w:t>图。综合两图可以看到，整体而言基本符合在模型拟合时做出的正态假设，但需要指出从</w:t>
      </w:r>
      <w:r w:rsidR="00D02640">
        <w:rPr>
          <w:rFonts w:hint="eastAsia"/>
        </w:rPr>
        <w:t>Q</w:t>
      </w:r>
      <w:r w:rsidR="00D02640">
        <w:t>-</w:t>
      </w:r>
      <w:r w:rsidR="00D02640">
        <w:rPr>
          <w:rFonts w:hint="eastAsia"/>
        </w:rPr>
        <w:t>Q</w:t>
      </w:r>
      <w:r w:rsidR="00D02640">
        <w:rPr>
          <w:rFonts w:hint="eastAsia"/>
        </w:rPr>
        <w:t>图中依然体现出了一定的厚尾倾向。</w:t>
      </w:r>
      <w:r w:rsidR="00375C85">
        <w:rPr>
          <w:rFonts w:hint="eastAsia"/>
        </w:rPr>
        <w:t>子图</w:t>
      </w:r>
      <w:r w:rsidR="00375C85">
        <w:t>10</w:t>
      </w:r>
      <w:r w:rsidR="00375C85">
        <w:rPr>
          <w:rFonts w:hint="eastAsia"/>
        </w:rPr>
        <w:t>、</w:t>
      </w:r>
      <w:r w:rsidR="00375C85">
        <w:rPr>
          <w:rFonts w:hint="eastAsia"/>
        </w:rPr>
        <w:t>1</w:t>
      </w:r>
      <w:r w:rsidR="00375C85">
        <w:t>1</w:t>
      </w:r>
      <w:r w:rsidR="00375C85">
        <w:rPr>
          <w:rFonts w:hint="eastAsia"/>
        </w:rPr>
        <w:t>分别为标准化残差序列与标准化残差序列平方的</w:t>
      </w:r>
      <w:r w:rsidR="00375C85">
        <w:rPr>
          <w:rFonts w:hint="eastAsia"/>
        </w:rPr>
        <w:t>ACF</w:t>
      </w:r>
      <w:r w:rsidR="00375C85">
        <w:rPr>
          <w:rFonts w:hint="eastAsia"/>
        </w:rPr>
        <w:t>图，由图中基本可以看出标准化残差序列基本不存在任何的序列相关性</w:t>
      </w:r>
      <w:r w:rsidR="00416D76">
        <w:rPr>
          <w:rFonts w:hint="eastAsia"/>
        </w:rPr>
        <w:t>，但平方</w:t>
      </w:r>
      <w:r w:rsidR="00925031">
        <w:rPr>
          <w:rFonts w:hint="eastAsia"/>
        </w:rPr>
        <w:t>标准化残差</w:t>
      </w:r>
      <w:r w:rsidR="00416D76">
        <w:rPr>
          <w:rFonts w:hint="eastAsia"/>
        </w:rPr>
        <w:t>序列在一些较低的阶数处依然存在着</w:t>
      </w:r>
      <w:r w:rsidR="00925031">
        <w:rPr>
          <w:rFonts w:hint="eastAsia"/>
        </w:rPr>
        <w:t>不是特别显著的</w:t>
      </w:r>
      <w:r w:rsidR="00D64014">
        <w:rPr>
          <w:rFonts w:hint="eastAsia"/>
        </w:rPr>
        <w:t>相关性。</w:t>
      </w:r>
      <w:r w:rsidR="00052882">
        <w:rPr>
          <w:rFonts w:hint="eastAsia"/>
        </w:rPr>
        <w:t>为进一步确认，对标准化残差序列及标准化残差平方序列分别进行加权</w:t>
      </w:r>
      <w:r w:rsidR="00052882">
        <w:rPr>
          <w:rFonts w:hint="eastAsia"/>
        </w:rPr>
        <w:t>Ljung</w:t>
      </w:r>
      <w:r w:rsidR="00052882">
        <w:t>-</w:t>
      </w:r>
      <w:r w:rsidR="00052882">
        <w:rPr>
          <w:rFonts w:hint="eastAsia"/>
        </w:rPr>
        <w:t>Box</w:t>
      </w:r>
      <w:r w:rsidR="00052882">
        <w:rPr>
          <w:rFonts w:hint="eastAsia"/>
        </w:rPr>
        <w:t>检验，检验结果的</w:t>
      </w:r>
      <w:r w:rsidR="00052882">
        <w:rPr>
          <w:rFonts w:hint="eastAsia"/>
        </w:rPr>
        <w:t>p</w:t>
      </w:r>
      <w:r w:rsidR="00052882">
        <w:rPr>
          <w:rFonts w:hint="eastAsia"/>
        </w:rPr>
        <w:t>值均大于</w:t>
      </w:r>
      <w:r w:rsidR="00052882">
        <w:rPr>
          <w:rFonts w:hint="eastAsia"/>
        </w:rPr>
        <w:t>0</w:t>
      </w:r>
      <w:r w:rsidR="00052882">
        <w:t>.05</w:t>
      </w:r>
      <w:r w:rsidR="00052882">
        <w:rPr>
          <w:rFonts w:hint="eastAsia"/>
        </w:rPr>
        <w:t>，基本都处于</w:t>
      </w:r>
      <w:r w:rsidR="00052882">
        <w:rPr>
          <w:rFonts w:hint="eastAsia"/>
        </w:rPr>
        <w:lastRenderedPageBreak/>
        <w:t>0</w:t>
      </w:r>
      <w:r w:rsidR="00052882">
        <w:t>.20</w:t>
      </w:r>
      <w:r w:rsidR="00052882">
        <w:rPr>
          <w:rFonts w:hint="eastAsia"/>
        </w:rPr>
        <w:t>水平以上，因此可以认为残差序列基本是不存在序列或平方序列相关性。</w:t>
      </w:r>
    </w:p>
    <w:p w14:paraId="48BDA11C" w14:textId="63CDCF65" w:rsidR="00283D93" w:rsidRPr="003F00F7" w:rsidRDefault="00283D93" w:rsidP="00D02640">
      <w:pPr>
        <w:pStyle w:val="afa"/>
        <w:ind w:firstLine="480"/>
        <w:rPr>
          <w:rFonts w:hint="eastAsia"/>
        </w:rPr>
      </w:pPr>
      <w:r>
        <w:rPr>
          <w:rFonts w:hint="eastAsia"/>
        </w:rPr>
        <w:t>对于</w:t>
      </w:r>
      <w:r>
        <w:t>GARCH(1,1)</w:t>
      </w:r>
      <w:r>
        <w:rPr>
          <w:rFonts w:hint="eastAsia"/>
        </w:rPr>
        <w:t>模型，大致的模型拟合效果内容与</w:t>
      </w:r>
      <w:r>
        <w:t>ARCH</w:t>
      </w:r>
      <w:r>
        <w:rPr>
          <w:rFonts w:hint="eastAsia"/>
        </w:rPr>
        <w:t>(</w:t>
      </w:r>
      <w:r>
        <w:t>2)</w:t>
      </w:r>
      <w:r>
        <w:rPr>
          <w:rFonts w:hint="eastAsia"/>
        </w:rPr>
        <w:t>模型相似，并且可以看到其残差序列的相关性更低，在此角度而言</w:t>
      </w:r>
      <w:r>
        <w:t>GARCH(1,1)</w:t>
      </w:r>
      <w:r>
        <w:rPr>
          <w:rFonts w:hint="eastAsia"/>
        </w:rPr>
        <w:t>的拟合更为充分。</w:t>
      </w:r>
      <w:r w:rsidR="00EF2517">
        <w:rPr>
          <w:rFonts w:hint="eastAsia"/>
        </w:rPr>
        <w:t>此外，</w:t>
      </w:r>
      <w:r w:rsidR="00F82E87">
        <w:rPr>
          <w:rFonts w:hint="eastAsia"/>
        </w:rPr>
        <w:t>该模型的残差序列亦通过了类似的</w:t>
      </w:r>
      <w:r w:rsidR="00F82E87">
        <w:rPr>
          <w:rFonts w:hint="eastAsia"/>
        </w:rPr>
        <w:t>Ljung</w:t>
      </w:r>
      <w:r w:rsidR="00F82E87">
        <w:t>-</w:t>
      </w:r>
      <w:r w:rsidR="00F82E87">
        <w:rPr>
          <w:rFonts w:hint="eastAsia"/>
        </w:rPr>
        <w:t>Box</w:t>
      </w:r>
      <w:r w:rsidR="00F82E87">
        <w:rPr>
          <w:rFonts w:hint="eastAsia"/>
        </w:rPr>
        <w:t>检验。</w:t>
      </w:r>
    </w:p>
    <w:p w14:paraId="5365E5D9" w14:textId="77777777" w:rsidR="00AA349B" w:rsidRDefault="00AA349B" w:rsidP="00AA349B">
      <w:pPr>
        <w:keepNext/>
      </w:pPr>
      <w:r w:rsidRPr="00AA349B">
        <w:drawing>
          <wp:inline distT="0" distB="0" distL="0" distR="0" wp14:anchorId="0D899057" wp14:editId="44BF661B">
            <wp:extent cx="5759777" cy="3402755"/>
            <wp:effectExtent l="0" t="0" r="0" b="1270"/>
            <wp:docPr id="102311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17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58" cy="341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4F95" w14:textId="3C5CAD46" w:rsidR="00422C40" w:rsidRDefault="00AA349B" w:rsidP="00AA349B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ARCH(2)</w:t>
      </w:r>
      <w:r>
        <w:rPr>
          <w:rFonts w:hint="eastAsia"/>
        </w:rPr>
        <w:t xml:space="preserve"> </w:t>
      </w:r>
      <w:r>
        <w:rPr>
          <w:rFonts w:hint="eastAsia"/>
        </w:rPr>
        <w:t>模型拟合效果及残差检验图</w:t>
      </w:r>
    </w:p>
    <w:p w14:paraId="3773BEDF" w14:textId="77777777" w:rsidR="00C01352" w:rsidRPr="00C01352" w:rsidRDefault="00C01352" w:rsidP="00C01352">
      <w:pPr>
        <w:rPr>
          <w:rFonts w:hint="eastAsia"/>
        </w:rPr>
      </w:pPr>
    </w:p>
    <w:p w14:paraId="66168B08" w14:textId="77777777" w:rsidR="00AA349B" w:rsidRDefault="00AA349B" w:rsidP="00AA349B">
      <w:pPr>
        <w:keepNext/>
      </w:pPr>
      <w:r w:rsidRPr="00AA349B">
        <w:drawing>
          <wp:inline distT="0" distB="0" distL="0" distR="0" wp14:anchorId="0294A76E" wp14:editId="02F6F339">
            <wp:extent cx="5731510" cy="3223895"/>
            <wp:effectExtent l="0" t="0" r="0" b="1905"/>
            <wp:docPr id="171280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09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6316" w14:textId="1E1DB887" w:rsidR="00AA349B" w:rsidRPr="00AA349B" w:rsidRDefault="00AA349B" w:rsidP="00AA349B">
      <w:pPr>
        <w:pStyle w:val="a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GARCH</w:t>
      </w:r>
      <w:r>
        <w:t xml:space="preserve">(1,1) </w:t>
      </w:r>
      <w:r w:rsidRPr="005D1B29">
        <w:t>模型拟合效果及残差检验图</w:t>
      </w:r>
    </w:p>
    <w:p w14:paraId="7295C81C" w14:textId="6867A9E4" w:rsidR="00683794" w:rsidRDefault="00683794" w:rsidP="00683794">
      <w:pPr>
        <w:pStyle w:val="a0"/>
      </w:pPr>
      <w:r>
        <w:rPr>
          <w:rFonts w:hint="eastAsia"/>
        </w:rPr>
        <w:lastRenderedPageBreak/>
        <w:t>预测</w:t>
      </w:r>
    </w:p>
    <w:p w14:paraId="7FECD5CF" w14:textId="61202D01" w:rsidR="00683794" w:rsidRDefault="00683794" w:rsidP="00683794">
      <w:pPr>
        <w:pStyle w:val="a"/>
      </w:pPr>
      <w:r>
        <w:rPr>
          <w:rFonts w:hint="eastAsia"/>
        </w:rPr>
        <w:t>总结与讨论</w:t>
      </w:r>
    </w:p>
    <w:p w14:paraId="74E4FF11" w14:textId="6283F101" w:rsidR="00683794" w:rsidRDefault="00683794" w:rsidP="00683794">
      <w:pPr>
        <w:pStyle w:val="a"/>
      </w:pPr>
      <w:r>
        <w:rPr>
          <w:rFonts w:hint="eastAsia"/>
        </w:rPr>
        <w:t>参考文献</w:t>
      </w:r>
    </w:p>
    <w:p w14:paraId="57EDB5CE" w14:textId="77777777" w:rsidR="001C1B6C" w:rsidRDefault="001C1B6C" w:rsidP="001C1B6C">
      <w:r>
        <w:t>[1]</w:t>
      </w:r>
      <w:r>
        <w:tab/>
        <w:t>BAUR D G, LUCEY B M. Is Gold a Hedge or a Safe Haven? An Analysis of Stocks, Bonds and Gold [J]. Financial Review, 2010, 45(2): 217-29.</w:t>
      </w:r>
    </w:p>
    <w:p w14:paraId="6BFCDBD7" w14:textId="55648E21" w:rsidR="001C1B6C" w:rsidRPr="001C1B6C" w:rsidRDefault="001C1B6C" w:rsidP="001C1B6C">
      <w:pPr>
        <w:rPr>
          <w:rFonts w:hint="eastAsia"/>
        </w:rPr>
      </w:pPr>
      <w:r>
        <w:t>[2]</w:t>
      </w:r>
      <w:r>
        <w:tab/>
        <w:t>HULL J C. Risk Management and Financial Institutions [M]. 6th Edition ed., 2023.</w:t>
      </w:r>
    </w:p>
    <w:p w14:paraId="7B037956" w14:textId="457B1C74" w:rsidR="004655F6" w:rsidRDefault="00683794" w:rsidP="0038719D">
      <w:pPr>
        <w:pStyle w:val="a"/>
      </w:pPr>
      <w:r>
        <w:rPr>
          <w:rFonts w:hint="eastAsia"/>
        </w:rPr>
        <w:t>程序代码</w:t>
      </w:r>
    </w:p>
    <w:p w14:paraId="1E7414D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readxl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64F3EA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TSA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924B896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ggplot2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0CA136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4356559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tseries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21F5F0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FinTS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88D2DB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rugarch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B208D3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library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fGarch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7AD663D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0DC1791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rm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list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ls</w:t>
      </w:r>
      <w:r>
        <w:rPr>
          <w:rFonts w:ascii="Consolas" w:hAnsi="Consolas" w:cs="Consolas"/>
          <w:color w:val="666600"/>
          <w:sz w:val="18"/>
          <w:szCs w:val="18"/>
        </w:rPr>
        <w:t>())</w:t>
      </w:r>
    </w:p>
    <w:p w14:paraId="52501BF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64E733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########################################</w:t>
      </w:r>
    </w:p>
    <w:p w14:paraId="6AA677D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Comments Rules:            #</w:t>
      </w:r>
    </w:p>
    <w:p w14:paraId="0F5161A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401C33F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 xml:space="preserve"># # -------- #. SECTION NAME 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--------  #</w:t>
      </w:r>
      <w:proofErr w:type="gramEnd"/>
    </w:p>
    <w:p w14:paraId="15032F1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3632C92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 xml:space="preserve"># ## ------ 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#.a</w:t>
      </w:r>
      <w:proofErr w:type="gramEnd"/>
      <w:r>
        <w:rPr>
          <w:rFonts w:ascii="Consolas" w:hAnsi="Consolas" w:cs="Consolas"/>
          <w:color w:val="880000"/>
          <w:sz w:val="18"/>
          <w:szCs w:val="18"/>
        </w:rPr>
        <w:t xml:space="preserve"> Unit Name ------       #</w:t>
      </w:r>
    </w:p>
    <w:p w14:paraId="555B5BF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2CE4168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#: Function Description              #</w:t>
      </w:r>
    </w:p>
    <w:p w14:paraId="4541264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6F66B84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#" Natural Language Explanation"     #</w:t>
      </w:r>
    </w:p>
    <w:p w14:paraId="52B85C0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                                     #</w:t>
      </w:r>
    </w:p>
    <w:p w14:paraId="05AE4E8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########################################</w:t>
      </w:r>
    </w:p>
    <w:p w14:paraId="0B078BC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B8A190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-------- 0. Load Data ----------------</w:t>
      </w:r>
    </w:p>
    <w:p w14:paraId="3BEDE85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0F66B0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setwd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"/Users/xinby/Desktop/Sufe/TSA/ts_proj2/proj2"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7874D23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dat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000088"/>
          <w:sz w:val="18"/>
          <w:szCs w:val="18"/>
        </w:rPr>
        <w:t>as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matrix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read_excel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"tdat.xlsx"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col_names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sheet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"gold"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34B09C2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vec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dat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76639C3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vec</w:t>
      </w:r>
    </w:p>
    <w:p w14:paraId="666C190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gold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vec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start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2002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freq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12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5C0A27B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CA1A9F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lastRenderedPageBreak/>
        <w:t>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frame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</w:t>
      </w:r>
    </w:p>
    <w:p w14:paraId="3101209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34C613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dat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t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000088"/>
          <w:sz w:val="18"/>
          <w:szCs w:val="18"/>
        </w:rPr>
        <w:t>as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matrix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read_excel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"tdat.xlsx"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col_names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sheet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"test"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7439D6A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vec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t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dat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9EC27B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vec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</w:p>
    <w:p w14:paraId="23BDA00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t 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vec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start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2002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freq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12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3CB11DF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1D8268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-------- 1. Descriptive Stat --------</w:t>
      </w:r>
    </w:p>
    <w:p w14:paraId="0C4B356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C4B9B6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------ 1.a For original data -------</w:t>
      </w:r>
    </w:p>
    <w:p w14:paraId="3B94F3F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5C5F294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xlab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'Year'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ylab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"Price"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"Gold Price (AU9999)"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#:TS plot</w:t>
      </w:r>
    </w:p>
    <w:p w14:paraId="49BEB87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4B7B83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qqnorm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t>qqline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#:Q-Q plot</w:t>
      </w:r>
    </w:p>
    <w:p w14:paraId="07233A6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D833C4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ggplot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aes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x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frame$gold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y</w:t>
      </w:r>
      <w:r>
        <w:rPr>
          <w:rFonts w:ascii="Consolas" w:hAnsi="Consolas" w:cs="Consolas"/>
          <w:color w:val="666600"/>
          <w:sz w:val="18"/>
          <w:szCs w:val="18"/>
        </w:rPr>
        <w:t>=..</w:t>
      </w:r>
      <w:r>
        <w:rPr>
          <w:rFonts w:ascii="Consolas" w:hAnsi="Consolas" w:cs="Consolas"/>
          <w:color w:val="000000"/>
          <w:sz w:val="18"/>
          <w:szCs w:val="18"/>
        </w:rPr>
        <w:t>density</w:t>
      </w:r>
      <w:r>
        <w:rPr>
          <w:rFonts w:ascii="Consolas" w:hAnsi="Consolas" w:cs="Consolas"/>
          <w:color w:val="666600"/>
          <w:sz w:val="18"/>
          <w:szCs w:val="18"/>
        </w:rPr>
        <w:t>..))+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5EAC73F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geom_histogram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bins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6666"/>
          <w:sz w:val="18"/>
          <w:szCs w:val="18"/>
        </w:rPr>
        <w:t>30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color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"black"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fill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"gray"</w:t>
      </w:r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18E9B47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geom_density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size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)+</w:t>
      </w:r>
      <w:proofErr w:type="gramEnd"/>
    </w:p>
    <w:p w14:paraId="58BCAB4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theme_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bw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59043E5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xlab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8800"/>
          <w:sz w:val="18"/>
          <w:szCs w:val="18"/>
        </w:rPr>
        <w:t>'Gold Price'</w:t>
      </w:r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12D7ED7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ylab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"Density</w:t>
      </w:r>
      <w:proofErr w:type="gramStart"/>
      <w:r>
        <w:rPr>
          <w:rFonts w:ascii="Consolas" w:hAnsi="Consolas" w:cs="Consolas"/>
          <w:color w:val="008800"/>
          <w:sz w:val="18"/>
          <w:szCs w:val="18"/>
        </w:rPr>
        <w:t>"</w:t>
      </w:r>
      <w:r>
        <w:rPr>
          <w:rFonts w:ascii="Consolas" w:hAnsi="Consolas" w:cs="Consolas"/>
          <w:color w:val="666600"/>
          <w:sz w:val="18"/>
          <w:szCs w:val="18"/>
        </w:rPr>
        <w:t>)+</w:t>
      </w:r>
      <w:proofErr w:type="gramEnd"/>
    </w:p>
    <w:p w14:paraId="00BCC22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scale_y_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continuous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labels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scales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r>
        <w:rPr>
          <w:rFonts w:ascii="Consolas" w:hAnsi="Consolas" w:cs="Consolas"/>
          <w:color w:val="000000"/>
          <w:sz w:val="18"/>
          <w:szCs w:val="18"/>
        </w:rPr>
        <w:t>percent_format</w:t>
      </w:r>
      <w:r>
        <w:rPr>
          <w:rFonts w:ascii="Consolas" w:hAnsi="Consolas" w:cs="Consolas"/>
          <w:color w:val="666600"/>
          <w:sz w:val="18"/>
          <w:szCs w:val="18"/>
        </w:rPr>
        <w:t>())+</w:t>
      </w:r>
    </w:p>
    <w:p w14:paraId="646FF05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ggtitle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8800"/>
          <w:sz w:val="18"/>
          <w:szCs w:val="18"/>
        </w:rPr>
        <w:t>"Histogram &amp; Density of Gold Price"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#:Histogram &amp; Density plot</w:t>
      </w:r>
    </w:p>
    <w:p w14:paraId="3563DB4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52DEFA8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------ 1.b For Diff Data ------</w:t>
      </w:r>
    </w:p>
    <w:p w14:paraId="4F3E8D9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xlab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'Year'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ylab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"Price Difference"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#:TS plot</w:t>
      </w:r>
    </w:p>
    <w:p w14:paraId="2DCAFE06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"Gold Price Difference (AU9999)</w:t>
      </w:r>
      <w:proofErr w:type="gramStart"/>
      <w:r>
        <w:rPr>
          <w:rFonts w:ascii="Consolas" w:hAnsi="Consolas" w:cs="Consolas"/>
          <w:color w:val="0088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End"/>
    </w:p>
    <w:p w14:paraId="5F80050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4D4E612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------ 1.c For Log Diff Data ------</w:t>
      </w:r>
    </w:p>
    <w:p w14:paraId="52F2973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)*</w:t>
      </w:r>
      <w:r>
        <w:rPr>
          <w:rFonts w:ascii="Consolas" w:hAnsi="Consolas" w:cs="Consolas"/>
          <w:color w:val="006666"/>
          <w:sz w:val="18"/>
          <w:szCs w:val="18"/>
        </w:rPr>
        <w:t>100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xlab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'Year'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ylab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"Log Difference (%)"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#:TS plot</w:t>
      </w:r>
    </w:p>
    <w:p w14:paraId="3FA02F1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"Gold Price Log Return (AU9999) 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7F3A4BF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qqnorm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t>qqline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#:Q-Q plot</w:t>
      </w:r>
    </w:p>
    <w:p w14:paraId="7A81CDD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0C2ECC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ggplot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aes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x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frame$diff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..,</w:t>
      </w:r>
      <w:r>
        <w:rPr>
          <w:rFonts w:ascii="Consolas" w:hAnsi="Consolas" w:cs="Consolas"/>
          <w:color w:val="000000"/>
          <w:sz w:val="18"/>
          <w:szCs w:val="18"/>
        </w:rPr>
        <w:t>y</w:t>
      </w:r>
      <w:r>
        <w:rPr>
          <w:rFonts w:ascii="Consolas" w:hAnsi="Consolas" w:cs="Consolas"/>
          <w:color w:val="666600"/>
          <w:sz w:val="18"/>
          <w:szCs w:val="18"/>
        </w:rPr>
        <w:t>=..</w:t>
      </w:r>
      <w:r>
        <w:rPr>
          <w:rFonts w:ascii="Consolas" w:hAnsi="Consolas" w:cs="Consolas"/>
          <w:color w:val="000000"/>
          <w:sz w:val="18"/>
          <w:szCs w:val="18"/>
        </w:rPr>
        <w:t>density</w:t>
      </w:r>
      <w:r>
        <w:rPr>
          <w:rFonts w:ascii="Consolas" w:hAnsi="Consolas" w:cs="Consolas"/>
          <w:color w:val="666600"/>
          <w:sz w:val="18"/>
          <w:szCs w:val="18"/>
        </w:rPr>
        <w:t>..))+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31034EC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geom_histogram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bins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6666"/>
          <w:sz w:val="18"/>
          <w:szCs w:val="18"/>
        </w:rPr>
        <w:t>30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color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"black"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fill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"gray"</w:t>
      </w:r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66F163F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geom_density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size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)+</w:t>
      </w:r>
      <w:proofErr w:type="gramEnd"/>
    </w:p>
    <w:p w14:paraId="5594950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theme_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bw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4026246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xlab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8800"/>
          <w:sz w:val="18"/>
          <w:szCs w:val="18"/>
        </w:rPr>
        <w:t>'Gold Price'</w:t>
      </w:r>
      <w:r>
        <w:rPr>
          <w:rFonts w:ascii="Consolas" w:hAnsi="Consolas" w:cs="Consolas"/>
          <w:color w:val="666600"/>
          <w:sz w:val="18"/>
          <w:szCs w:val="18"/>
        </w:rPr>
        <w:t>)+</w:t>
      </w:r>
    </w:p>
    <w:p w14:paraId="124E7A3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ylab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8800"/>
          <w:sz w:val="18"/>
          <w:szCs w:val="18"/>
        </w:rPr>
        <w:t>"Density</w:t>
      </w:r>
      <w:proofErr w:type="gramStart"/>
      <w:r>
        <w:rPr>
          <w:rFonts w:ascii="Consolas" w:hAnsi="Consolas" w:cs="Consolas"/>
          <w:color w:val="008800"/>
          <w:sz w:val="18"/>
          <w:szCs w:val="18"/>
        </w:rPr>
        <w:t>"</w:t>
      </w:r>
      <w:r>
        <w:rPr>
          <w:rFonts w:ascii="Consolas" w:hAnsi="Consolas" w:cs="Consolas"/>
          <w:color w:val="666600"/>
          <w:sz w:val="18"/>
          <w:szCs w:val="18"/>
        </w:rPr>
        <w:t>)+</w:t>
      </w:r>
      <w:proofErr w:type="gramEnd"/>
    </w:p>
    <w:p w14:paraId="67B3C68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ggtitle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8800"/>
          <w:sz w:val="18"/>
          <w:szCs w:val="18"/>
        </w:rPr>
        <w:t>"Histogram &amp; Density of Gold Price Log Return"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#:Histogram &amp; Density plot</w:t>
      </w:r>
    </w:p>
    <w:p w14:paraId="76D32EF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EBE578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 -------- 2. Model Recoginition ----------------</w:t>
      </w:r>
    </w:p>
    <w:p w14:paraId="072FE7A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53D79C5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------ 2.a Stationarity Test ------</w:t>
      </w:r>
    </w:p>
    <w:p w14:paraId="1195437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</w:t>
      </w:r>
    </w:p>
    <w:p w14:paraId="264A1D3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par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mfrow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044FEA4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Acf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>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"ACF - Log Return of Gold Price"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#:ACF</w:t>
      </w:r>
    </w:p>
    <w:p w14:paraId="08DA6B3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#"From ACF, apart from lag=21, others all stay inbetween -&gt; WN "#</w:t>
      </w:r>
    </w:p>
    <w:p w14:paraId="3E50389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#"cannot fit an MA"#</w:t>
      </w:r>
    </w:p>
    <w:p w14:paraId="2698766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Pacf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>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"PACF - Log Return of Gold Price"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#:PACF</w:t>
      </w:r>
    </w:p>
    <w:p w14:paraId="42038DC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#"From PACF, basically all stay inbetween"#</w:t>
      </w:r>
    </w:p>
    <w:p w14:paraId="1D622FB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#"cannot fit an AR"#</w:t>
      </w:r>
    </w:p>
    <w:p w14:paraId="5ACDF41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#"ARMA model not appliable"#</w:t>
      </w:r>
    </w:p>
    <w:p w14:paraId="2A1B2546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mfrow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6E71CA5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E6D4D1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6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234512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C19925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18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4C10F42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24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#:Ljung-Box</w:t>
      </w:r>
    </w:p>
    <w:p w14:paraId="4172FAA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#"From Ljung-Box with different lags, affirm there's no relationships"#</w:t>
      </w:r>
    </w:p>
    <w:p w14:paraId="73075A0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C1655B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000088"/>
          <w:sz w:val="18"/>
          <w:szCs w:val="18"/>
        </w:rPr>
        <w:t>as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vector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#:t.test</w:t>
      </w:r>
    </w:p>
    <w:p w14:paraId="7FE3929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#"t test, H0: mean=0 -&gt; rejected, mean (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approx.)=</w:t>
      </w:r>
      <w:proofErr w:type="gramEnd"/>
      <w:r>
        <w:rPr>
          <w:rFonts w:ascii="Consolas" w:hAnsi="Consolas" w:cs="Consolas"/>
          <w:color w:val="880000"/>
          <w:sz w:val="18"/>
          <w:szCs w:val="18"/>
        </w:rPr>
        <w:t xml:space="preserve"> 0.006"</w:t>
      </w:r>
    </w:p>
    <w:p w14:paraId="587C8D5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D4729A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------ 2.b ARCH Effect Test ------</w:t>
      </w:r>
    </w:p>
    <w:p w14:paraId="6E14FC5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620D92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par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mfrow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2536FD9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Acf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abs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>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"abs. Log Return"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49AB569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Acf</w:t>
      </w:r>
      <w:r>
        <w:rPr>
          <w:rFonts w:ascii="Consolas" w:hAnsi="Consolas" w:cs="Consolas"/>
          <w:color w:val="666600"/>
          <w:sz w:val="18"/>
          <w:szCs w:val="18"/>
        </w:rPr>
        <w:t>((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)))^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main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"sq. Log Return"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#:ACF</w:t>
      </w:r>
    </w:p>
    <w:p w14:paraId="4D256BF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mfrow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2FABDAC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EF46A9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))^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6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31AA177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))^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5523C2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))^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18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1EDB099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660066"/>
          <w:sz w:val="18"/>
          <w:szCs w:val="18"/>
        </w:rPr>
        <w:t>Box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test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))^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lag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24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type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"Ljung"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#:Mcleod Test</w:t>
      </w:r>
    </w:p>
    <w:p w14:paraId="540C137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E5390B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------ 2.c Model ARCH ------</w:t>
      </w:r>
    </w:p>
    <w:p w14:paraId="16E4EB6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7274CD8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::</w:t>
      </w:r>
      <w:proofErr w:type="gramEnd"/>
      <w:r>
        <w:rPr>
          <w:rFonts w:ascii="Consolas" w:hAnsi="Consolas" w:cs="Consolas"/>
          <w:color w:val="660066"/>
          <w:sz w:val="18"/>
          <w:szCs w:val="18"/>
        </w:rPr>
        <w:t>Pacf</w:t>
      </w:r>
      <w:r>
        <w:rPr>
          <w:rFonts w:ascii="Consolas" w:hAnsi="Consolas" w:cs="Consolas"/>
          <w:color w:val="666600"/>
          <w:sz w:val="18"/>
          <w:szCs w:val="18"/>
        </w:rPr>
        <w:t>((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)))^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main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""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#:PACF</w:t>
      </w:r>
    </w:p>
    <w:p w14:paraId="69BBDB6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>##"consider arch(1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),arch</w:t>
      </w:r>
      <w:proofErr w:type="gramEnd"/>
      <w:r>
        <w:rPr>
          <w:rFonts w:ascii="Consolas" w:hAnsi="Consolas" w:cs="Consolas"/>
          <w:color w:val="880000"/>
          <w:sz w:val="18"/>
          <w:szCs w:val="18"/>
        </w:rPr>
        <w:t>(13)"</w:t>
      </w:r>
    </w:p>
    <w:p w14:paraId="66DDC01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88"/>
          <w:sz w:val="18"/>
          <w:szCs w:val="18"/>
        </w:rPr>
        <w:t>auto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arima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))^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seasonal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stationary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T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max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q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880000"/>
          <w:sz w:val="18"/>
          <w:szCs w:val="18"/>
        </w:rPr>
        <w:t>#aic</w:t>
      </w:r>
    </w:p>
    <w:p w14:paraId="641EDD8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880000"/>
          <w:sz w:val="18"/>
          <w:szCs w:val="18"/>
        </w:rPr>
        <w:t xml:space="preserve">##"consider </w:t>
      </w:r>
      <w:proofErr w:type="gramStart"/>
      <w:r>
        <w:rPr>
          <w:rFonts w:ascii="Consolas" w:hAnsi="Consolas" w:cs="Consolas"/>
          <w:color w:val="880000"/>
          <w:sz w:val="18"/>
          <w:szCs w:val="18"/>
        </w:rPr>
        <w:t>arch(</w:t>
      </w:r>
      <w:proofErr w:type="gramEnd"/>
      <w:r>
        <w:rPr>
          <w:rFonts w:ascii="Consolas" w:hAnsi="Consolas" w:cs="Consolas"/>
          <w:color w:val="880000"/>
          <w:sz w:val="18"/>
          <w:szCs w:val="18"/>
        </w:rPr>
        <w:t>2)</w:t>
      </w:r>
    </w:p>
    <w:p w14:paraId="0F24DC69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~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+</w:t>
      </w:r>
      <w:r>
        <w:rPr>
          <w:rFonts w:ascii="Consolas" w:hAnsi="Consolas" w:cs="Consolas"/>
          <w:color w:val="000000"/>
          <w:sz w:val="18"/>
          <w:szCs w:val="18"/>
        </w:rPr>
        <w:t xml:space="preserve"> garch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 xml:space="preserve"> trace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1428584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~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+</w:t>
      </w:r>
      <w:r>
        <w:rPr>
          <w:rFonts w:ascii="Consolas" w:hAnsi="Consolas" w:cs="Consolas"/>
          <w:color w:val="000000"/>
          <w:sz w:val="18"/>
          <w:szCs w:val="18"/>
        </w:rPr>
        <w:t xml:space="preserve"> garch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 xml:space="preserve"> trace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6ACE5A4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~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+</w:t>
      </w:r>
      <w:r>
        <w:rPr>
          <w:rFonts w:ascii="Consolas" w:hAnsi="Consolas" w:cs="Consolas"/>
          <w:color w:val="000000"/>
          <w:sz w:val="18"/>
          <w:szCs w:val="18"/>
        </w:rPr>
        <w:t xml:space="preserve"> garch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data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 xml:space="preserve"> trace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096942A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62E249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ugarchspec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variance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model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model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"sGARCH"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garchOrder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533E38E7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mean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armaOrder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include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mean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T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 </w:t>
      </w:r>
    </w:p>
    <w:p w14:paraId="1519C86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distribution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"norm"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192A63D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0A445CE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>ugarchfit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spec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data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88"/>
          <w:sz w:val="18"/>
          <w:szCs w:val="18"/>
        </w:rPr>
        <w:t>out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sample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solver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'hybrid'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control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stationarity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7BAD268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2</w:t>
      </w:r>
    </w:p>
    <w:p w14:paraId="3CAB87E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which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'all'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1B8A26DA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E0142E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### ---- 2.c.b Predict ----</w:t>
      </w:r>
    </w:p>
    <w:p w14:paraId="31714DB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2C0757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norm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arch2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ugarchforecast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arch2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data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ahead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roll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88"/>
          <w:sz w:val="18"/>
          <w:szCs w:val="18"/>
        </w:rPr>
        <w:t>out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sample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0C66872F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norm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arch2</w:t>
      </w:r>
    </w:p>
    <w:p w14:paraId="545CD7B6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08CC3F7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880000"/>
          <w:sz w:val="18"/>
          <w:szCs w:val="18"/>
        </w:rPr>
        <w:t>## ------ 3 GARCH -------</w:t>
      </w:r>
    </w:p>
    <w:p w14:paraId="1EAB12E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garchFit</w:t>
      </w:r>
      <w:r>
        <w:rPr>
          <w:rFonts w:ascii="Consolas" w:hAnsi="Consolas" w:cs="Consolas"/>
          <w:color w:val="666600"/>
          <w:sz w:val="18"/>
          <w:szCs w:val="18"/>
        </w:rPr>
        <w:t>(~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+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proofErr w:type="gramStart"/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data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))),</w:t>
      </w:r>
      <w:r>
        <w:rPr>
          <w:rFonts w:ascii="Consolas" w:hAnsi="Consolas" w:cs="Consolas"/>
          <w:color w:val="000000"/>
          <w:sz w:val="18"/>
          <w:szCs w:val="18"/>
        </w:rPr>
        <w:t>trace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F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240189AE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11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ugarchspec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variance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model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model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"sGARCH"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garchOrder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6A0B968D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mean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armaOrder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c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>include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mean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T</w:t>
      </w:r>
      <w:r>
        <w:rPr>
          <w:rFonts w:ascii="Consolas" w:hAnsi="Consolas" w:cs="Consolas"/>
          <w:color w:val="666600"/>
          <w:sz w:val="18"/>
          <w:szCs w:val="18"/>
        </w:rPr>
        <w:t>),</w:t>
      </w:r>
      <w:r>
        <w:rPr>
          <w:rFonts w:ascii="Consolas" w:hAnsi="Consolas" w:cs="Consolas"/>
          <w:color w:val="000000"/>
          <w:sz w:val="18"/>
          <w:szCs w:val="18"/>
        </w:rPr>
        <w:t xml:space="preserve">                 </w:t>
      </w:r>
    </w:p>
    <w:p w14:paraId="599B7DDB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distribution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model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"norm"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3D382435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11</w:t>
      </w:r>
      <w:r>
        <w:rPr>
          <w:rFonts w:ascii="Consolas" w:hAnsi="Consolas" w:cs="Consolas"/>
          <w:color w:val="666600"/>
          <w:sz w:val="18"/>
          <w:szCs w:val="18"/>
        </w:rPr>
        <w:t>&lt;-</w:t>
      </w:r>
      <w:r>
        <w:rPr>
          <w:rFonts w:ascii="Consolas" w:hAnsi="Consolas" w:cs="Consolas"/>
          <w:color w:val="000000"/>
          <w:sz w:val="18"/>
          <w:szCs w:val="18"/>
        </w:rPr>
        <w:t>ugarchfit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spec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garch11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data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)),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88"/>
          <w:sz w:val="18"/>
          <w:szCs w:val="18"/>
        </w:rPr>
        <w:t>out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sample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solver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8800"/>
          <w:sz w:val="18"/>
          <w:szCs w:val="18"/>
        </w:rPr>
        <w:t>'hybrid'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fit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control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list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 xml:space="preserve">stationarity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1</w:t>
      </w:r>
      <w:r>
        <w:rPr>
          <w:rFonts w:ascii="Consolas" w:hAnsi="Consolas" w:cs="Consolas"/>
          <w:color w:val="666600"/>
          <w:sz w:val="18"/>
          <w:szCs w:val="18"/>
        </w:rPr>
        <w:t>))</w:t>
      </w:r>
    </w:p>
    <w:p w14:paraId="2DD1E37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11</w:t>
      </w:r>
    </w:p>
    <w:p w14:paraId="680F25E3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plot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11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>which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8800"/>
          <w:sz w:val="18"/>
          <w:szCs w:val="18"/>
        </w:rPr>
        <w:t>'all'</w:t>
      </w:r>
      <w:r>
        <w:rPr>
          <w:rFonts w:ascii="Consolas" w:hAnsi="Consolas" w:cs="Consolas"/>
          <w:color w:val="666600"/>
          <w:sz w:val="18"/>
          <w:szCs w:val="18"/>
        </w:rPr>
        <w:t>)</w:t>
      </w:r>
    </w:p>
    <w:p w14:paraId="282D6C61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norm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garch11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>ugarchforecast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garch11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data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ahead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n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roll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,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88"/>
          <w:sz w:val="18"/>
          <w:szCs w:val="18"/>
        </w:rPr>
        <w:t>out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 xml:space="preserve">sample </w:t>
      </w:r>
      <w:r>
        <w:rPr>
          <w:rFonts w:ascii="Consolas" w:hAnsi="Consolas" w:cs="Consolas"/>
          <w:color w:val="666600"/>
          <w:sz w:val="18"/>
          <w:szCs w:val="18"/>
        </w:rPr>
        <w:t>=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71A382D4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forecast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norm</w:t>
      </w:r>
      <w:proofErr w:type="gramEnd"/>
      <w:r>
        <w:rPr>
          <w:rFonts w:ascii="Consolas" w:hAnsi="Consolas" w:cs="Consolas"/>
          <w:color w:val="66660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garch11</w:t>
      </w:r>
    </w:p>
    <w:p w14:paraId="28DEE4B2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09F846E0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sqrt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88"/>
          <w:sz w:val="18"/>
          <w:szCs w:val="18"/>
        </w:rPr>
        <w:t>var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diff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log</w:t>
      </w:r>
      <w:r>
        <w:rPr>
          <w:rFonts w:ascii="Consolas" w:hAnsi="Consolas" w:cs="Consolas"/>
          <w:color w:val="666600"/>
          <w:sz w:val="18"/>
          <w:szCs w:val="18"/>
        </w:rPr>
        <w:t>(</w:t>
      </w:r>
      <w:r>
        <w:rPr>
          <w:rFonts w:ascii="Consolas" w:hAnsi="Consolas" w:cs="Consolas"/>
          <w:color w:val="000000"/>
          <w:sz w:val="18"/>
          <w:szCs w:val="18"/>
        </w:rPr>
        <w:t>gold</w:t>
      </w:r>
      <w:r>
        <w:rPr>
          <w:rFonts w:ascii="Consolas" w:hAnsi="Consolas" w:cs="Consolas"/>
          <w:color w:val="666600"/>
          <w:sz w:val="18"/>
          <w:szCs w:val="18"/>
        </w:rPr>
        <w:t>.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</w:t>
      </w:r>
      <w:r>
        <w:rPr>
          <w:rFonts w:ascii="Consolas" w:hAnsi="Consolas" w:cs="Consolas"/>
          <w:color w:val="666600"/>
          <w:sz w:val="18"/>
          <w:szCs w:val="18"/>
        </w:rPr>
        <w:t>[</w:t>
      </w:r>
      <w:proofErr w:type="gramEnd"/>
      <w:r>
        <w:rPr>
          <w:rFonts w:ascii="Consolas" w:hAnsi="Consolas" w:cs="Consolas"/>
          <w:color w:val="006666"/>
          <w:sz w:val="18"/>
          <w:szCs w:val="18"/>
        </w:rPr>
        <w:t>0</w:t>
      </w:r>
      <w:r>
        <w:rPr>
          <w:rFonts w:ascii="Consolas" w:hAnsi="Consolas" w:cs="Consolas"/>
          <w:color w:val="666600"/>
          <w:sz w:val="18"/>
          <w:szCs w:val="18"/>
        </w:rPr>
        <w:t>:-</w:t>
      </w:r>
      <w:r>
        <w:rPr>
          <w:rFonts w:ascii="Consolas" w:hAnsi="Consolas" w:cs="Consolas"/>
          <w:color w:val="006666"/>
          <w:sz w:val="18"/>
          <w:szCs w:val="18"/>
        </w:rPr>
        <w:t>3</w:t>
      </w:r>
      <w:r>
        <w:rPr>
          <w:rFonts w:ascii="Consolas" w:hAnsi="Consolas" w:cs="Consolas"/>
          <w:color w:val="666600"/>
          <w:sz w:val="18"/>
          <w:szCs w:val="18"/>
        </w:rPr>
        <w:t>]))))</w:t>
      </w:r>
    </w:p>
    <w:p w14:paraId="14C3BA6C" w14:textId="77777777" w:rsidR="001C1B6C" w:rsidRDefault="001C1B6C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70487033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12A14D7" w14:textId="43FB6590" w:rsidR="00683794" w:rsidRDefault="00683794" w:rsidP="001C1B6C">
      <w:pPr>
        <w:pStyle w:val="a"/>
        <w:numPr>
          <w:ilvl w:val="0"/>
          <w:numId w:val="0"/>
        </w:numPr>
        <w:rPr>
          <w:rFonts w:hint="eastAsia"/>
        </w:rPr>
      </w:pPr>
    </w:p>
    <w:sectPr w:rsidR="00683794" w:rsidSect="0031408C">
      <w:footerReference w:type="even" r:id="rId22"/>
      <w:footerReference w:type="default" r:id="rId23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y xin" w:date="2023-05-06T14:05:00Z" w:initials="bx">
    <w:p w14:paraId="383E9D45" w14:textId="77777777" w:rsidR="00F715CA" w:rsidRDefault="00F715CA" w:rsidP="00505177">
      <w:pPr>
        <w:jc w:val="left"/>
      </w:pPr>
      <w:r>
        <w:rPr>
          <w:rStyle w:val="aff0"/>
        </w:rPr>
        <w:annotationRef/>
      </w:r>
      <w:r>
        <w:rPr>
          <w:rFonts w:hint="eastAsia"/>
          <w:color w:val="000000"/>
        </w:rPr>
        <w:t xml:space="preserve">1. </w:t>
      </w:r>
      <w:r>
        <w:rPr>
          <w:rFonts w:hint="eastAsia"/>
          <w:color w:val="000000"/>
        </w:rPr>
        <w:t>上海黄金及贵重金属月交易文件</w:t>
      </w:r>
    </w:p>
    <w:p w14:paraId="55242B25" w14:textId="77777777" w:rsidR="00F715CA" w:rsidRDefault="00F715CA" w:rsidP="00505177">
      <w:pPr>
        <w:jc w:val="left"/>
      </w:pPr>
      <w:r>
        <w:rPr>
          <w:rFonts w:hint="eastAsia"/>
          <w:color w:val="000000"/>
        </w:rPr>
        <w:t xml:space="preserve">2. 2002-10 </w:t>
      </w:r>
      <w:r>
        <w:rPr>
          <w:rFonts w:hint="eastAsia"/>
          <w:color w:val="000000"/>
        </w:rPr>
        <w:t>至</w:t>
      </w:r>
      <w:r>
        <w:rPr>
          <w:rFonts w:hint="eastAsia"/>
          <w:color w:val="000000"/>
        </w:rPr>
        <w:t xml:space="preserve"> 2023-05</w:t>
      </w:r>
    </w:p>
    <w:p w14:paraId="6798046E" w14:textId="77777777" w:rsidR="00F715CA" w:rsidRDefault="00F715CA" w:rsidP="00505177">
      <w:pPr>
        <w:jc w:val="left"/>
      </w:pPr>
      <w:r>
        <w:rPr>
          <w:rFonts w:hint="eastAsia"/>
          <w:color w:val="000000"/>
        </w:rPr>
        <w:t xml:space="preserve">3. </w:t>
      </w:r>
      <w:r>
        <w:rPr>
          <w:rFonts w:hint="eastAsia"/>
          <w:color w:val="000000"/>
        </w:rPr>
        <w:t>黄金类型</w:t>
      </w:r>
      <w:r>
        <w:rPr>
          <w:rFonts w:hint="eastAsia"/>
          <w:color w:val="000000"/>
        </w:rPr>
        <w:t xml:space="preserve">[Goldtype] </w:t>
      </w:r>
      <w:r>
        <w:rPr>
          <w:rFonts w:hint="eastAsia"/>
          <w:color w:val="000000"/>
        </w:rPr>
        <w:t>交易月份</w:t>
      </w:r>
      <w:r>
        <w:rPr>
          <w:rFonts w:hint="eastAsia"/>
          <w:color w:val="000000"/>
        </w:rPr>
        <w:t xml:space="preserve">[Trdmnt] </w:t>
      </w:r>
      <w:r>
        <w:rPr>
          <w:rFonts w:hint="eastAsia"/>
          <w:color w:val="000000"/>
        </w:rPr>
        <w:t>收盘价</w:t>
      </w:r>
      <w:r>
        <w:rPr>
          <w:rFonts w:hint="eastAsia"/>
          <w:color w:val="000000"/>
        </w:rPr>
        <w:t>[Clsprcd]</w:t>
      </w:r>
    </w:p>
    <w:p w14:paraId="4DEECF92" w14:textId="77777777" w:rsidR="00F715CA" w:rsidRDefault="00F715CA" w:rsidP="00505177">
      <w:pPr>
        <w:jc w:val="left"/>
      </w:pPr>
      <w:r>
        <w:rPr>
          <w:color w:val="000000"/>
        </w:rPr>
        <w:t>4. [Goldtype] = 'AU9999'</w:t>
      </w:r>
    </w:p>
    <w:p w14:paraId="5D9DE52F" w14:textId="77777777" w:rsidR="00F715CA" w:rsidRDefault="00F715CA" w:rsidP="00505177">
      <w:pPr>
        <w:jc w:val="left"/>
      </w:pPr>
      <w:r>
        <w:rPr>
          <w:rFonts w:hint="eastAsia"/>
          <w:color w:val="000000"/>
        </w:rPr>
        <w:t xml:space="preserve">5. </w:t>
      </w:r>
      <w:r>
        <w:rPr>
          <w:rFonts w:hint="eastAsia"/>
          <w:color w:val="000000"/>
        </w:rPr>
        <w:t>国内交易数据来自于上海黄金交易所；世界黄金现货、汇率数据来自于中国外汇交易中心；伦敦黄金来自于伦敦黄金定价组织；各国黄金储备来自于世界黄金协会。</w:t>
      </w:r>
    </w:p>
    <w:p w14:paraId="0D6E316A" w14:textId="77777777" w:rsidR="00F715CA" w:rsidRDefault="00F715CA" w:rsidP="00505177">
      <w:pPr>
        <w:jc w:val="left"/>
      </w:pPr>
    </w:p>
    <w:p w14:paraId="576A7437" w14:textId="77777777" w:rsidR="00F715CA" w:rsidRDefault="00F715CA" w:rsidP="00505177">
      <w:pPr>
        <w:jc w:val="left"/>
      </w:pPr>
      <w:r>
        <w:rPr>
          <w:color w:val="000000"/>
        </w:rPr>
        <w:t>6.http://cndata1.csmar.com/#/index</w:t>
      </w:r>
    </w:p>
    <w:p w14:paraId="2BBA23C0" w14:textId="77777777" w:rsidR="00F715CA" w:rsidRDefault="00F715CA" w:rsidP="00505177">
      <w:pPr>
        <w:jc w:val="lef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BA23C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0DD35" w16cex:dateUtc="2023-05-06T06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BA23C0" w16cid:durableId="2800DD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63D7E" w14:textId="77777777" w:rsidR="00B369D0" w:rsidRDefault="00B369D0">
      <w:r>
        <w:separator/>
      </w:r>
    </w:p>
  </w:endnote>
  <w:endnote w:type="continuationSeparator" w:id="0">
    <w:p w14:paraId="753B9FC6" w14:textId="77777777" w:rsidR="00B369D0" w:rsidRDefault="00B36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3"/>
      </w:rPr>
      <w:id w:val="1752617314"/>
    </w:sdtPr>
    <w:sdtContent>
      <w:p w14:paraId="35AC8CF1" w14:textId="77777777" w:rsidR="00914F59" w:rsidRDefault="00C67BD3">
        <w:pPr>
          <w:pStyle w:val="a6"/>
          <w:framePr w:wrap="auto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</w:rPr>
          <w:t>1</w:t>
        </w:r>
        <w:r>
          <w:rPr>
            <w:rStyle w:val="af3"/>
          </w:rPr>
          <w:fldChar w:fldCharType="end"/>
        </w:r>
      </w:p>
    </w:sdtContent>
  </w:sdt>
  <w:p w14:paraId="37A7C9A6" w14:textId="77777777" w:rsidR="00914F59" w:rsidRDefault="00914F59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7131618"/>
    </w:sdtPr>
    <w:sdtContent>
      <w:sdt>
        <w:sdtPr>
          <w:id w:val="-1705238520"/>
        </w:sdtPr>
        <w:sdtContent>
          <w:p w14:paraId="1B84949B" w14:textId="77777777" w:rsidR="00914F59" w:rsidRDefault="00C67BD3">
            <w:pPr>
              <w:pStyle w:val="a6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845C232" w14:textId="77777777" w:rsidR="00914F59" w:rsidRDefault="00914F59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E488D" w14:textId="77777777" w:rsidR="00B369D0" w:rsidRDefault="00B369D0">
      <w:r>
        <w:separator/>
      </w:r>
    </w:p>
  </w:footnote>
  <w:footnote w:type="continuationSeparator" w:id="0">
    <w:p w14:paraId="47440B74" w14:textId="77777777" w:rsidR="00B369D0" w:rsidRDefault="00B36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37CF"/>
    <w:multiLevelType w:val="multilevel"/>
    <w:tmpl w:val="0CE437CF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D010F5"/>
    <w:multiLevelType w:val="multilevel"/>
    <w:tmpl w:val="14D010F5"/>
    <w:lvl w:ilvl="0">
      <w:start w:val="1"/>
      <w:numFmt w:val="bullet"/>
      <w:lvlText w:val=""/>
      <w:lvlJc w:val="left"/>
      <w:pPr>
        <w:ind w:left="7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20" w:hanging="420"/>
      </w:pPr>
      <w:rPr>
        <w:rFonts w:ascii="Wingdings" w:hAnsi="Wingdings" w:hint="default"/>
      </w:rPr>
    </w:lvl>
  </w:abstractNum>
  <w:abstractNum w:abstractNumId="2" w15:restartNumberingAfterBreak="0">
    <w:nsid w:val="1ADA4613"/>
    <w:multiLevelType w:val="multilevel"/>
    <w:tmpl w:val="1ADA4613"/>
    <w:lvl w:ilvl="0">
      <w:start w:val="1"/>
      <w:numFmt w:val="bullet"/>
      <w:lvlText w:val=""/>
      <w:lvlJc w:val="left"/>
      <w:pPr>
        <w:ind w:left="70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7DC5F19"/>
    <w:multiLevelType w:val="multilevel"/>
    <w:tmpl w:val="27DC5F19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3630EA6"/>
    <w:multiLevelType w:val="multilevel"/>
    <w:tmpl w:val="33630EA6"/>
    <w:lvl w:ilvl="0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AA75EB4"/>
    <w:multiLevelType w:val="multilevel"/>
    <w:tmpl w:val="7B7CCD10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lang w:val="en-US"/>
      </w:rPr>
    </w:lvl>
    <w:lvl w:ilvl="1">
      <w:start w:val="1"/>
      <w:numFmt w:val="chineseCountingThousand"/>
      <w:suff w:val="space"/>
      <w:lvlText w:val="（%2）"/>
      <w:lvlJc w:val="left"/>
      <w:pPr>
        <w:ind w:left="0" w:firstLine="340"/>
      </w:pPr>
      <w:rPr>
        <w:rFonts w:hint="eastAsia"/>
        <w:lang w:val="en-US"/>
      </w:rPr>
    </w:lvl>
    <w:lvl w:ilvl="2">
      <w:start w:val="1"/>
      <w:numFmt w:val="decimal"/>
      <w:suff w:val="space"/>
      <w:lvlText w:val="%3."/>
      <w:lvlJc w:val="left"/>
      <w:pPr>
        <w:ind w:left="0" w:firstLine="624"/>
      </w:pPr>
      <w:rPr>
        <w:rFonts w:hint="eastAsia"/>
      </w:rPr>
    </w:lvl>
    <w:lvl w:ilvl="3">
      <w:start w:val="1"/>
      <w:numFmt w:val="decimal"/>
      <w:suff w:val="space"/>
      <w:lvlText w:val="（%4）"/>
      <w:lvlJc w:val="left"/>
      <w:pPr>
        <w:ind w:left="0" w:firstLine="51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6" w15:restartNumberingAfterBreak="0">
    <w:nsid w:val="47721927"/>
    <w:multiLevelType w:val="multilevel"/>
    <w:tmpl w:val="47721927"/>
    <w:lvl w:ilvl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E029B5"/>
    <w:multiLevelType w:val="multilevel"/>
    <w:tmpl w:val="4EE029B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8F2CDE"/>
    <w:multiLevelType w:val="hybridMultilevel"/>
    <w:tmpl w:val="D164A60E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3A13D42"/>
    <w:multiLevelType w:val="multilevel"/>
    <w:tmpl w:val="EA0EA7F2"/>
    <w:lvl w:ilvl="0">
      <w:start w:val="1"/>
      <w:numFmt w:val="chineseCountingThousand"/>
      <w:pStyle w:val="a"/>
      <w:lvlText w:val="%1、"/>
      <w:lvlJc w:val="left"/>
      <w:pPr>
        <w:ind w:left="425" w:hanging="425"/>
      </w:pPr>
      <w:rPr>
        <w:rFonts w:hint="eastAsia"/>
        <w:lang w:val="en-US"/>
      </w:rPr>
    </w:lvl>
    <w:lvl w:ilvl="1">
      <w:start w:val="1"/>
      <w:numFmt w:val="chineseCountingThousand"/>
      <w:pStyle w:val="a0"/>
      <w:suff w:val="space"/>
      <w:lvlText w:val="（%2）"/>
      <w:lvlJc w:val="left"/>
      <w:pPr>
        <w:ind w:left="0" w:firstLine="340"/>
      </w:pPr>
      <w:rPr>
        <w:rFonts w:hint="eastAsia"/>
        <w:lang w:val="en-US"/>
      </w:rPr>
    </w:lvl>
    <w:lvl w:ilvl="2">
      <w:start w:val="1"/>
      <w:numFmt w:val="decimal"/>
      <w:suff w:val="space"/>
      <w:lvlText w:val="%3."/>
      <w:lvlJc w:val="left"/>
      <w:pPr>
        <w:ind w:left="0" w:firstLine="624"/>
      </w:pPr>
      <w:rPr>
        <w:rFonts w:hint="eastAsia"/>
      </w:rPr>
    </w:lvl>
    <w:lvl w:ilvl="3">
      <w:start w:val="1"/>
      <w:numFmt w:val="decimal"/>
      <w:suff w:val="space"/>
      <w:lvlText w:val="（%4）"/>
      <w:lvlJc w:val="left"/>
      <w:pPr>
        <w:ind w:left="0" w:firstLine="51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 w16cid:durableId="1412893809">
    <w:abstractNumId w:val="6"/>
  </w:num>
  <w:num w:numId="2" w16cid:durableId="78135566">
    <w:abstractNumId w:val="9"/>
  </w:num>
  <w:num w:numId="3" w16cid:durableId="1152674513">
    <w:abstractNumId w:val="0"/>
  </w:num>
  <w:num w:numId="4" w16cid:durableId="225386649">
    <w:abstractNumId w:val="7"/>
  </w:num>
  <w:num w:numId="5" w16cid:durableId="308100230">
    <w:abstractNumId w:val="1"/>
  </w:num>
  <w:num w:numId="6" w16cid:durableId="609047376">
    <w:abstractNumId w:val="2"/>
  </w:num>
  <w:num w:numId="7" w16cid:durableId="1342046702">
    <w:abstractNumId w:val="3"/>
  </w:num>
  <w:num w:numId="8" w16cid:durableId="1650358626">
    <w:abstractNumId w:val="4"/>
  </w:num>
  <w:num w:numId="9" w16cid:durableId="649747707">
    <w:abstractNumId w:val="8"/>
  </w:num>
  <w:num w:numId="10" w16cid:durableId="155603935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y xin">
    <w15:presenceInfo w15:providerId="Windows Live" w15:userId="ad370a4abf41c4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embedSystemFonts/>
  <w:bordersDoNotSurroundHeader/>
  <w:bordersDoNotSurroundFooter/>
  <w:proofState w:grammar="clean"/>
  <w:attachedTemplate r:id="rId1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E2ZDk4NWY4ODRmYmJmOWVkNjJlODU1YzZjYzc1ZDY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0wsfd2xixzax2e2097vvvwxz2wzwfpw9z5v&quot;&gt;Sufe大创2022 2&lt;record-ids&gt;&lt;item&gt;109&lt;/item&gt;&lt;item&gt;110&lt;/item&gt;&lt;/record-ids&gt;&lt;/item&gt;&lt;/Libraries&gt;"/>
  </w:docVars>
  <w:rsids>
    <w:rsidRoot w:val="00683794"/>
    <w:rsid w:val="00002573"/>
    <w:rsid w:val="0000354B"/>
    <w:rsid w:val="000113E6"/>
    <w:rsid w:val="00015872"/>
    <w:rsid w:val="000250BF"/>
    <w:rsid w:val="0004073A"/>
    <w:rsid w:val="00041F75"/>
    <w:rsid w:val="00052882"/>
    <w:rsid w:val="000664AB"/>
    <w:rsid w:val="00084412"/>
    <w:rsid w:val="00091D59"/>
    <w:rsid w:val="00097D05"/>
    <w:rsid w:val="000A5305"/>
    <w:rsid w:val="000B2576"/>
    <w:rsid w:val="000B54B1"/>
    <w:rsid w:val="000B5741"/>
    <w:rsid w:val="000D0CE7"/>
    <w:rsid w:val="000D15AF"/>
    <w:rsid w:val="000D337A"/>
    <w:rsid w:val="000E0C98"/>
    <w:rsid w:val="00103930"/>
    <w:rsid w:val="00114104"/>
    <w:rsid w:val="001214DD"/>
    <w:rsid w:val="00131BA3"/>
    <w:rsid w:val="00134ADB"/>
    <w:rsid w:val="001357BD"/>
    <w:rsid w:val="00146849"/>
    <w:rsid w:val="00166D3C"/>
    <w:rsid w:val="001836A5"/>
    <w:rsid w:val="001C1B6C"/>
    <w:rsid w:val="001D2F84"/>
    <w:rsid w:val="001E0BD6"/>
    <w:rsid w:val="001E73AF"/>
    <w:rsid w:val="00204011"/>
    <w:rsid w:val="0021328D"/>
    <w:rsid w:val="00234FC8"/>
    <w:rsid w:val="00235CF7"/>
    <w:rsid w:val="00236346"/>
    <w:rsid w:val="00240F6B"/>
    <w:rsid w:val="00243B90"/>
    <w:rsid w:val="00283D93"/>
    <w:rsid w:val="002846CA"/>
    <w:rsid w:val="002855F4"/>
    <w:rsid w:val="002961D1"/>
    <w:rsid w:val="002C4F5E"/>
    <w:rsid w:val="002D28DC"/>
    <w:rsid w:val="003017CC"/>
    <w:rsid w:val="0031021F"/>
    <w:rsid w:val="0031408C"/>
    <w:rsid w:val="00316347"/>
    <w:rsid w:val="0032068B"/>
    <w:rsid w:val="003428D2"/>
    <w:rsid w:val="00350714"/>
    <w:rsid w:val="003575B8"/>
    <w:rsid w:val="00375C85"/>
    <w:rsid w:val="00386AEB"/>
    <w:rsid w:val="003D22DD"/>
    <w:rsid w:val="003D56F6"/>
    <w:rsid w:val="003E719C"/>
    <w:rsid w:val="003E7B53"/>
    <w:rsid w:val="003F00F7"/>
    <w:rsid w:val="004158F6"/>
    <w:rsid w:val="00416D76"/>
    <w:rsid w:val="004218A2"/>
    <w:rsid w:val="00422C40"/>
    <w:rsid w:val="0043185E"/>
    <w:rsid w:val="004375C6"/>
    <w:rsid w:val="00461B62"/>
    <w:rsid w:val="00463300"/>
    <w:rsid w:val="004653ED"/>
    <w:rsid w:val="004655F6"/>
    <w:rsid w:val="004713DE"/>
    <w:rsid w:val="004848D2"/>
    <w:rsid w:val="004850CB"/>
    <w:rsid w:val="00490972"/>
    <w:rsid w:val="00496773"/>
    <w:rsid w:val="004A3D9A"/>
    <w:rsid w:val="004B0F74"/>
    <w:rsid w:val="004B7D40"/>
    <w:rsid w:val="004C0776"/>
    <w:rsid w:val="004C0B3A"/>
    <w:rsid w:val="004C715E"/>
    <w:rsid w:val="004D361B"/>
    <w:rsid w:val="004F22A9"/>
    <w:rsid w:val="00505A58"/>
    <w:rsid w:val="005102FC"/>
    <w:rsid w:val="005158E4"/>
    <w:rsid w:val="00561C3D"/>
    <w:rsid w:val="00582126"/>
    <w:rsid w:val="005B012D"/>
    <w:rsid w:val="005B235D"/>
    <w:rsid w:val="005D1AA3"/>
    <w:rsid w:val="005D33FA"/>
    <w:rsid w:val="005E7000"/>
    <w:rsid w:val="0060391C"/>
    <w:rsid w:val="00603B3E"/>
    <w:rsid w:val="006146FF"/>
    <w:rsid w:val="00683794"/>
    <w:rsid w:val="00686842"/>
    <w:rsid w:val="006944BF"/>
    <w:rsid w:val="006B0037"/>
    <w:rsid w:val="006B3373"/>
    <w:rsid w:val="006C0562"/>
    <w:rsid w:val="006C3401"/>
    <w:rsid w:val="006C427B"/>
    <w:rsid w:val="006D580F"/>
    <w:rsid w:val="00713A4C"/>
    <w:rsid w:val="007161A3"/>
    <w:rsid w:val="00732362"/>
    <w:rsid w:val="00741A4C"/>
    <w:rsid w:val="00747883"/>
    <w:rsid w:val="0076753F"/>
    <w:rsid w:val="00774C69"/>
    <w:rsid w:val="00780F6A"/>
    <w:rsid w:val="0078690E"/>
    <w:rsid w:val="007877C7"/>
    <w:rsid w:val="007941C6"/>
    <w:rsid w:val="007A206F"/>
    <w:rsid w:val="007B22AB"/>
    <w:rsid w:val="007C01E5"/>
    <w:rsid w:val="007C66B3"/>
    <w:rsid w:val="007E7284"/>
    <w:rsid w:val="007F278F"/>
    <w:rsid w:val="00824E44"/>
    <w:rsid w:val="008352AF"/>
    <w:rsid w:val="00872C78"/>
    <w:rsid w:val="00875B89"/>
    <w:rsid w:val="0088323F"/>
    <w:rsid w:val="00883F0E"/>
    <w:rsid w:val="0088612B"/>
    <w:rsid w:val="008E0FFA"/>
    <w:rsid w:val="008E317F"/>
    <w:rsid w:val="008E470E"/>
    <w:rsid w:val="008F115F"/>
    <w:rsid w:val="008F30F0"/>
    <w:rsid w:val="00903A81"/>
    <w:rsid w:val="009143B2"/>
    <w:rsid w:val="00914F59"/>
    <w:rsid w:val="00921234"/>
    <w:rsid w:val="00924AEC"/>
    <w:rsid w:val="00925031"/>
    <w:rsid w:val="009455AA"/>
    <w:rsid w:val="009672E1"/>
    <w:rsid w:val="00967EC5"/>
    <w:rsid w:val="00970C6D"/>
    <w:rsid w:val="00974450"/>
    <w:rsid w:val="00974959"/>
    <w:rsid w:val="00974D80"/>
    <w:rsid w:val="00983C7F"/>
    <w:rsid w:val="00986304"/>
    <w:rsid w:val="00995F62"/>
    <w:rsid w:val="00996317"/>
    <w:rsid w:val="009A7034"/>
    <w:rsid w:val="009B5C5A"/>
    <w:rsid w:val="009C02FB"/>
    <w:rsid w:val="009C69CA"/>
    <w:rsid w:val="009D3295"/>
    <w:rsid w:val="009D6F75"/>
    <w:rsid w:val="009E7095"/>
    <w:rsid w:val="009F0E9B"/>
    <w:rsid w:val="009F13A4"/>
    <w:rsid w:val="009F3AB7"/>
    <w:rsid w:val="00A11EF6"/>
    <w:rsid w:val="00A26FB4"/>
    <w:rsid w:val="00A41D54"/>
    <w:rsid w:val="00A50EE0"/>
    <w:rsid w:val="00A55CE1"/>
    <w:rsid w:val="00A55ECA"/>
    <w:rsid w:val="00A56D34"/>
    <w:rsid w:val="00A608E0"/>
    <w:rsid w:val="00A62AE2"/>
    <w:rsid w:val="00A74E2A"/>
    <w:rsid w:val="00AA349B"/>
    <w:rsid w:val="00AA3BE0"/>
    <w:rsid w:val="00AC005C"/>
    <w:rsid w:val="00AD0F79"/>
    <w:rsid w:val="00AE0042"/>
    <w:rsid w:val="00AF2556"/>
    <w:rsid w:val="00AF5A6C"/>
    <w:rsid w:val="00B115DF"/>
    <w:rsid w:val="00B1227E"/>
    <w:rsid w:val="00B23721"/>
    <w:rsid w:val="00B369D0"/>
    <w:rsid w:val="00B442F3"/>
    <w:rsid w:val="00B564A6"/>
    <w:rsid w:val="00B60AD3"/>
    <w:rsid w:val="00B82E51"/>
    <w:rsid w:val="00B979DA"/>
    <w:rsid w:val="00BA3981"/>
    <w:rsid w:val="00BA3B30"/>
    <w:rsid w:val="00BD35F7"/>
    <w:rsid w:val="00BD5AA5"/>
    <w:rsid w:val="00BF07C5"/>
    <w:rsid w:val="00BF6201"/>
    <w:rsid w:val="00C01352"/>
    <w:rsid w:val="00C01657"/>
    <w:rsid w:val="00C07600"/>
    <w:rsid w:val="00C215C1"/>
    <w:rsid w:val="00C24A48"/>
    <w:rsid w:val="00C256F1"/>
    <w:rsid w:val="00C26C7B"/>
    <w:rsid w:val="00C304E9"/>
    <w:rsid w:val="00C42C0F"/>
    <w:rsid w:val="00C67BD3"/>
    <w:rsid w:val="00C75818"/>
    <w:rsid w:val="00C802F6"/>
    <w:rsid w:val="00C82D2D"/>
    <w:rsid w:val="00C92F5E"/>
    <w:rsid w:val="00CA2BE5"/>
    <w:rsid w:val="00CA46FF"/>
    <w:rsid w:val="00CB189F"/>
    <w:rsid w:val="00CC1A33"/>
    <w:rsid w:val="00CC3F15"/>
    <w:rsid w:val="00CD4F90"/>
    <w:rsid w:val="00CF1837"/>
    <w:rsid w:val="00CF4814"/>
    <w:rsid w:val="00CF6777"/>
    <w:rsid w:val="00D02640"/>
    <w:rsid w:val="00D11BC9"/>
    <w:rsid w:val="00D51430"/>
    <w:rsid w:val="00D64014"/>
    <w:rsid w:val="00D82A10"/>
    <w:rsid w:val="00E01028"/>
    <w:rsid w:val="00E11B9F"/>
    <w:rsid w:val="00E17A3B"/>
    <w:rsid w:val="00E2630E"/>
    <w:rsid w:val="00E40300"/>
    <w:rsid w:val="00E454D6"/>
    <w:rsid w:val="00E509BE"/>
    <w:rsid w:val="00E53F5D"/>
    <w:rsid w:val="00E56569"/>
    <w:rsid w:val="00E740C3"/>
    <w:rsid w:val="00E837EA"/>
    <w:rsid w:val="00E922AF"/>
    <w:rsid w:val="00EA0720"/>
    <w:rsid w:val="00EB46BA"/>
    <w:rsid w:val="00EC4951"/>
    <w:rsid w:val="00ED6CE2"/>
    <w:rsid w:val="00EF2517"/>
    <w:rsid w:val="00F02CDF"/>
    <w:rsid w:val="00F05172"/>
    <w:rsid w:val="00F17259"/>
    <w:rsid w:val="00F2642D"/>
    <w:rsid w:val="00F44C24"/>
    <w:rsid w:val="00F627C2"/>
    <w:rsid w:val="00F66A2B"/>
    <w:rsid w:val="00F70DE9"/>
    <w:rsid w:val="00F715CA"/>
    <w:rsid w:val="00F71DC0"/>
    <w:rsid w:val="00F818B6"/>
    <w:rsid w:val="00F82E87"/>
    <w:rsid w:val="00F834BC"/>
    <w:rsid w:val="00F85692"/>
    <w:rsid w:val="00FB0EFE"/>
    <w:rsid w:val="00FB4B07"/>
    <w:rsid w:val="00FE63DC"/>
    <w:rsid w:val="00FF7A39"/>
    <w:rsid w:val="04C638DE"/>
    <w:rsid w:val="095673AB"/>
    <w:rsid w:val="1F5C4D36"/>
    <w:rsid w:val="1FD57FCB"/>
    <w:rsid w:val="25C007BE"/>
    <w:rsid w:val="29BE35E1"/>
    <w:rsid w:val="325F251C"/>
    <w:rsid w:val="39582971"/>
    <w:rsid w:val="4E361869"/>
    <w:rsid w:val="4ECD3D05"/>
    <w:rsid w:val="51DC1903"/>
    <w:rsid w:val="5A5131A9"/>
    <w:rsid w:val="5B647768"/>
    <w:rsid w:val="5B8147BE"/>
    <w:rsid w:val="644B60E1"/>
    <w:rsid w:val="69AE217E"/>
    <w:rsid w:val="6A471EFD"/>
    <w:rsid w:val="6C264CF2"/>
    <w:rsid w:val="6E5B403D"/>
    <w:rsid w:val="72A30D51"/>
    <w:rsid w:val="7B6C2A55"/>
    <w:rsid w:val="7F98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CFA90AE"/>
  <w15:docId w15:val="{B342B65E-C1C7-4F40-AEEB-B245520E6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toc 3" w:uiPriority="39" w:qFormat="1"/>
    <w:lsdException w:name="header" w:qFormat="1"/>
    <w:lsdException w:name="footer" w:uiPriority="99"/>
    <w:lsdException w:name="caption" w:unhideWhenUsed="1" w:qFormat="1"/>
    <w:lsdException w:name="page number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1"/>
    <w:next w:val="a1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1"/>
    <w:next w:val="a1"/>
    <w:link w:val="20"/>
    <w:unhideWhenUsed/>
    <w:qFormat/>
    <w:pPr>
      <w:keepNext/>
      <w:keepLines/>
      <w:numPr>
        <w:numId w:val="1"/>
      </w:numPr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1"/>
    <w:next w:val="a1"/>
    <w:uiPriority w:val="39"/>
    <w:qFormat/>
    <w:pPr>
      <w:ind w:leftChars="400" w:left="840"/>
    </w:pPr>
  </w:style>
  <w:style w:type="paragraph" w:styleId="a6">
    <w:name w:val="footer"/>
    <w:basedOn w:val="a1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1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qFormat/>
  </w:style>
  <w:style w:type="paragraph" w:styleId="aa">
    <w:name w:val="Subtitle"/>
    <w:basedOn w:val="a1"/>
    <w:next w:val="a1"/>
    <w:link w:val="ab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c">
    <w:name w:val="footnote text"/>
    <w:basedOn w:val="a1"/>
    <w:link w:val="ad"/>
    <w:pPr>
      <w:snapToGrid w:val="0"/>
      <w:jc w:val="left"/>
    </w:pPr>
    <w:rPr>
      <w:sz w:val="18"/>
      <w:szCs w:val="18"/>
    </w:rPr>
  </w:style>
  <w:style w:type="paragraph" w:styleId="TOC2">
    <w:name w:val="toc 2"/>
    <w:basedOn w:val="a1"/>
    <w:next w:val="a1"/>
    <w:uiPriority w:val="39"/>
    <w:pPr>
      <w:ind w:leftChars="200" w:left="420"/>
    </w:pPr>
  </w:style>
  <w:style w:type="paragraph" w:styleId="ae">
    <w:name w:val="Normal (Web)"/>
    <w:basedOn w:val="a1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f">
    <w:name w:val="Title"/>
    <w:basedOn w:val="a1"/>
    <w:next w:val="a1"/>
    <w:link w:val="af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f1">
    <w:name w:val="Table Grid"/>
    <w:basedOn w:val="a3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2"/>
    <w:qFormat/>
    <w:rPr>
      <w:b/>
    </w:rPr>
  </w:style>
  <w:style w:type="character" w:styleId="af3">
    <w:name w:val="page number"/>
    <w:basedOn w:val="a2"/>
    <w:qFormat/>
  </w:style>
  <w:style w:type="character" w:styleId="af4">
    <w:name w:val="Hyperlink"/>
    <w:basedOn w:val="a2"/>
    <w:uiPriority w:val="99"/>
    <w:unhideWhenUsed/>
    <w:rPr>
      <w:color w:val="0563C1" w:themeColor="hyperlink"/>
      <w:u w:val="single"/>
    </w:rPr>
  </w:style>
  <w:style w:type="character" w:styleId="af5">
    <w:name w:val="footnote reference"/>
    <w:basedOn w:val="a2"/>
    <w:rPr>
      <w:vertAlign w:val="superscript"/>
    </w:rPr>
  </w:style>
  <w:style w:type="paragraph" w:customStyle="1" w:styleId="msolistparagraph0">
    <w:name w:val="msolistparagraph"/>
    <w:basedOn w:val="a1"/>
    <w:qFormat/>
    <w:pPr>
      <w:ind w:firstLineChars="200" w:firstLine="420"/>
    </w:pPr>
    <w:rPr>
      <w:rFonts w:ascii="Calibri" w:eastAsia="宋体" w:hAnsi="Calibri" w:cs="Times New Roman"/>
    </w:rPr>
  </w:style>
  <w:style w:type="table" w:customStyle="1" w:styleId="11">
    <w:name w:val="样式1"/>
    <w:basedOn w:val="a3"/>
    <w:uiPriority w:val="99"/>
    <w:qFormat/>
    <w:rPr>
      <w:color w:val="000000" w:themeColor="text1"/>
      <w:sz w:val="18"/>
    </w:rPr>
    <w:tblPr>
      <w:tblBorders>
        <w:top w:val="single" w:sz="12" w:space="0" w:color="auto"/>
        <w:bottom w:val="single" w:sz="12" w:space="0" w:color="auto"/>
      </w:tblBorders>
    </w:tblPr>
    <w:tcPr>
      <w:shd w:val="clear" w:color="auto" w:fill="FFFFFF" w:themeFill="background1"/>
    </w:tc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af6">
    <w:name w:val="表格"/>
    <w:basedOn w:val="a1"/>
    <w:link w:val="af7"/>
    <w:qFormat/>
    <w:pPr>
      <w:widowControl/>
      <w:jc w:val="center"/>
    </w:pPr>
    <w:rPr>
      <w:rFonts w:ascii="PMingLiU" w:eastAsia="PMingLiU" w:hAnsi="DengXian" w:cs="Times New Roman"/>
      <w:b/>
      <w:bCs/>
      <w:color w:val="993300"/>
      <w:kern w:val="0"/>
      <w:sz w:val="22"/>
      <w:szCs w:val="22"/>
    </w:rPr>
  </w:style>
  <w:style w:type="character" w:customStyle="1" w:styleId="font31">
    <w:name w:val="font31"/>
    <w:basedOn w:val="a2"/>
    <w:qFormat/>
    <w:rPr>
      <w:rFonts w:ascii="宋体" w:eastAsia="宋体" w:hAnsi="宋体" w:hint="eastAsia"/>
      <w:color w:val="000000"/>
      <w:sz w:val="18"/>
      <w:szCs w:val="18"/>
      <w:u w:val="none"/>
    </w:rPr>
  </w:style>
  <w:style w:type="character" w:customStyle="1" w:styleId="af7">
    <w:name w:val="表格 字符"/>
    <w:basedOn w:val="a2"/>
    <w:link w:val="af6"/>
    <w:qFormat/>
    <w:rPr>
      <w:rFonts w:ascii="PMingLiU" w:eastAsia="PMingLiU" w:hAnsi="DengXian"/>
      <w:b/>
      <w:bCs/>
      <w:color w:val="993300"/>
      <w:sz w:val="22"/>
      <w:szCs w:val="22"/>
    </w:rPr>
  </w:style>
  <w:style w:type="paragraph" w:customStyle="1" w:styleId="12">
    <w:name w:val="正文1"/>
    <w:qFormat/>
    <w:pPr>
      <w:jc w:val="both"/>
    </w:pPr>
    <w:rPr>
      <w:kern w:val="2"/>
      <w:sz w:val="21"/>
      <w:szCs w:val="21"/>
    </w:rPr>
  </w:style>
  <w:style w:type="character" w:customStyle="1" w:styleId="13">
    <w:name w:val="占位符文本1"/>
    <w:basedOn w:val="a2"/>
    <w:uiPriority w:val="99"/>
    <w:semiHidden/>
    <w:qFormat/>
    <w:rPr>
      <w:color w:val="808080"/>
    </w:rPr>
  </w:style>
  <w:style w:type="character" w:customStyle="1" w:styleId="10">
    <w:name w:val="标题 1 字符"/>
    <w:basedOn w:val="a2"/>
    <w:link w:val="1"/>
    <w:qFormat/>
    <w:rPr>
      <w:rFonts w:asciiTheme="minorHAnsi" w:eastAsiaTheme="minorEastAsia" w:hAnsiTheme="minorHAnsi" w:cstheme="minorBidi"/>
      <w:b/>
      <w:bCs/>
      <w:kern w:val="44"/>
      <w:sz w:val="30"/>
      <w:szCs w:val="44"/>
    </w:rPr>
  </w:style>
  <w:style w:type="character" w:customStyle="1" w:styleId="af0">
    <w:name w:val="标题 字符"/>
    <w:basedOn w:val="a2"/>
    <w:link w:val="af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20">
    <w:name w:val="标题 2 字符"/>
    <w:basedOn w:val="a2"/>
    <w:link w:val="2"/>
    <w:qFormat/>
    <w:rPr>
      <w:rFonts w:asciiTheme="majorHAnsi" w:eastAsiaTheme="majorEastAsia" w:hAnsiTheme="majorHAnsi" w:cstheme="majorBidi"/>
      <w:b/>
      <w:bCs/>
      <w:kern w:val="2"/>
      <w:sz w:val="30"/>
      <w:szCs w:val="32"/>
    </w:rPr>
  </w:style>
  <w:style w:type="character" w:styleId="af8">
    <w:name w:val="Placeholder Text"/>
    <w:basedOn w:val="a2"/>
    <w:uiPriority w:val="99"/>
    <w:semiHidden/>
    <w:qFormat/>
    <w:rPr>
      <w:color w:val="808080"/>
    </w:rPr>
  </w:style>
  <w:style w:type="paragraph" w:customStyle="1" w:styleId="14">
    <w:name w:val="书目1"/>
    <w:basedOn w:val="a1"/>
    <w:next w:val="a1"/>
    <w:uiPriority w:val="37"/>
    <w:semiHidden/>
    <w:unhideWhenUsed/>
    <w:qFormat/>
    <w:pPr>
      <w:ind w:left="384" w:hanging="384"/>
    </w:pPr>
  </w:style>
  <w:style w:type="paragraph" w:customStyle="1" w:styleId="EndNoteBibliographyTitle">
    <w:name w:val="EndNote Bibliography Title"/>
    <w:basedOn w:val="a1"/>
    <w:link w:val="EndNoteBibliographyTitleChar"/>
    <w:qFormat/>
    <w:pPr>
      <w:jc w:val="center"/>
    </w:pPr>
    <w:rPr>
      <w:rFonts w:ascii="Calibri" w:hAnsi="Calibri" w:cs="Calibri"/>
      <w:sz w:val="20"/>
    </w:rPr>
  </w:style>
  <w:style w:type="character" w:customStyle="1" w:styleId="EndNoteBibliographyTitleChar">
    <w:name w:val="EndNote Bibliography Title Char"/>
    <w:basedOn w:val="a2"/>
    <w:link w:val="EndNoteBibliographyTitle"/>
    <w:qFormat/>
    <w:rPr>
      <w:rFonts w:ascii="Calibri" w:eastAsiaTheme="minorEastAsia" w:hAnsi="Calibri" w:cs="Calibri"/>
      <w:kern w:val="2"/>
      <w:szCs w:val="24"/>
    </w:rPr>
  </w:style>
  <w:style w:type="paragraph" w:customStyle="1" w:styleId="EndNoteBibliography">
    <w:name w:val="EndNote Bibliography"/>
    <w:basedOn w:val="a1"/>
    <w:link w:val="EndNoteBibliographyChar"/>
    <w:qFormat/>
    <w:rPr>
      <w:rFonts w:ascii="Calibri" w:hAnsi="Calibri" w:cs="Calibri"/>
      <w:sz w:val="20"/>
    </w:rPr>
  </w:style>
  <w:style w:type="character" w:customStyle="1" w:styleId="EndNoteBibliographyChar">
    <w:name w:val="EndNote Bibliography Char"/>
    <w:basedOn w:val="a2"/>
    <w:link w:val="EndNoteBibliography"/>
    <w:qFormat/>
    <w:rPr>
      <w:rFonts w:ascii="Calibri" w:eastAsiaTheme="minorEastAsia" w:hAnsi="Calibri" w:cs="Calibri"/>
      <w:kern w:val="2"/>
      <w:szCs w:val="24"/>
    </w:rPr>
  </w:style>
  <w:style w:type="character" w:customStyle="1" w:styleId="a9">
    <w:name w:val="页眉 字符"/>
    <w:basedOn w:val="a2"/>
    <w:link w:val="a8"/>
    <w:qFormat/>
    <w:rPr>
      <w:rFonts w:asciiTheme="minorHAnsi" w:eastAsiaTheme="minorEastAsia" w:hAnsiTheme="minorHAnsi" w:cstheme="minorBidi"/>
      <w:kern w:val="2"/>
      <w:sz w:val="18"/>
      <w:szCs w:val="18"/>
      <w:lang w:val="en-US"/>
    </w:rPr>
  </w:style>
  <w:style w:type="character" w:customStyle="1" w:styleId="a7">
    <w:name w:val="页脚 字符"/>
    <w:basedOn w:val="a2"/>
    <w:link w:val="a6"/>
    <w:uiPriority w:val="99"/>
    <w:qFormat/>
    <w:rPr>
      <w:rFonts w:asciiTheme="minorHAnsi" w:eastAsiaTheme="minorEastAsia" w:hAnsiTheme="minorHAnsi" w:cstheme="minorBidi"/>
      <w:kern w:val="2"/>
      <w:sz w:val="18"/>
      <w:szCs w:val="18"/>
      <w:lang w:val="en-US"/>
    </w:rPr>
  </w:style>
  <w:style w:type="paragraph" w:styleId="af9">
    <w:name w:val="List Paragraph"/>
    <w:basedOn w:val="a1"/>
    <w:uiPriority w:val="34"/>
    <w:qFormat/>
    <w:pPr>
      <w:ind w:firstLineChars="200" w:firstLine="420"/>
    </w:pPr>
  </w:style>
  <w:style w:type="paragraph" w:customStyle="1" w:styleId="afa">
    <w:name w:val="文章正文"/>
    <w:basedOn w:val="a1"/>
    <w:link w:val="afb"/>
    <w:qFormat/>
    <w:pPr>
      <w:spacing w:line="400" w:lineRule="exact"/>
      <w:ind w:firstLineChars="200" w:firstLine="200"/>
      <w:jc w:val="left"/>
    </w:pPr>
    <w:rPr>
      <w:rFonts w:ascii="Times New Roman" w:eastAsia="宋体" w:hAnsi="Times New Roman"/>
      <w:sz w:val="24"/>
    </w:rPr>
  </w:style>
  <w:style w:type="paragraph" w:customStyle="1" w:styleId="afc">
    <w:name w:val="大创主标题"/>
    <w:basedOn w:val="af"/>
    <w:link w:val="afd"/>
    <w:qFormat/>
    <w:rPr>
      <w:rFonts w:ascii="宋体" w:eastAsia="黑体" w:hAnsi="宋体" w:cstheme="minorBidi"/>
      <w:szCs w:val="24"/>
    </w:rPr>
  </w:style>
  <w:style w:type="character" w:customStyle="1" w:styleId="afb">
    <w:name w:val="文章正文 字符"/>
    <w:basedOn w:val="a2"/>
    <w:link w:val="afa"/>
    <w:qFormat/>
    <w:rPr>
      <w:rFonts w:cstheme="minorBidi"/>
      <w:kern w:val="2"/>
      <w:sz w:val="24"/>
      <w:szCs w:val="24"/>
    </w:rPr>
  </w:style>
  <w:style w:type="paragraph" w:customStyle="1" w:styleId="a0">
    <w:name w:val="大创小标题"/>
    <w:basedOn w:val="afc"/>
    <w:link w:val="afe"/>
    <w:qFormat/>
    <w:pPr>
      <w:numPr>
        <w:ilvl w:val="1"/>
        <w:numId w:val="2"/>
      </w:numPr>
      <w:jc w:val="left"/>
    </w:pPr>
    <w:rPr>
      <w:b w:val="0"/>
      <w:sz w:val="24"/>
    </w:rPr>
  </w:style>
  <w:style w:type="character" w:customStyle="1" w:styleId="afd">
    <w:name w:val="大创主标题 字符"/>
    <w:basedOn w:val="afb"/>
    <w:link w:val="afc"/>
    <w:qFormat/>
    <w:rPr>
      <w:rFonts w:eastAsia="黑体" w:cstheme="minorBidi"/>
      <w:b/>
      <w:bCs/>
      <w:kern w:val="2"/>
      <w:sz w:val="32"/>
      <w:szCs w:val="24"/>
    </w:rPr>
  </w:style>
  <w:style w:type="character" w:customStyle="1" w:styleId="afe">
    <w:name w:val="大创小标题 字符"/>
    <w:basedOn w:val="afd"/>
    <w:link w:val="a0"/>
    <w:qFormat/>
    <w:rPr>
      <w:rFonts w:ascii="宋体" w:eastAsia="黑体" w:hAnsi="宋体" w:cstheme="minorBidi"/>
      <w:b w:val="0"/>
      <w:bCs/>
      <w:kern w:val="2"/>
      <w:sz w:val="24"/>
      <w:szCs w:val="24"/>
    </w:rPr>
  </w:style>
  <w:style w:type="character" w:customStyle="1" w:styleId="ab">
    <w:name w:val="副标题 字符"/>
    <w:basedOn w:val="a2"/>
    <w:link w:val="aa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customStyle="1" w:styleId="TOC10">
    <w:name w:val="TOC 标题1"/>
    <w:basedOn w:val="1"/>
    <w:next w:val="a1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">
    <w:name w:val="大创一级标题"/>
    <w:basedOn w:val="a0"/>
    <w:link w:val="aff"/>
    <w:qFormat/>
    <w:pPr>
      <w:numPr>
        <w:ilvl w:val="0"/>
      </w:numPr>
    </w:pPr>
    <w:rPr>
      <w:b/>
      <w:sz w:val="28"/>
    </w:rPr>
  </w:style>
  <w:style w:type="character" w:customStyle="1" w:styleId="aff">
    <w:name w:val="大创一级标题 字符"/>
    <w:basedOn w:val="afe"/>
    <w:link w:val="a"/>
    <w:qFormat/>
    <w:rPr>
      <w:rFonts w:ascii="宋体" w:eastAsia="黑体" w:hAnsi="宋体" w:cstheme="minorBidi"/>
      <w:b/>
      <w:bCs/>
      <w:kern w:val="2"/>
      <w:sz w:val="28"/>
      <w:szCs w:val="24"/>
    </w:rPr>
  </w:style>
  <w:style w:type="character" w:customStyle="1" w:styleId="ad">
    <w:name w:val="脚注文本 字符"/>
    <w:basedOn w:val="a2"/>
    <w:link w:val="ac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f0">
    <w:name w:val="annotation reference"/>
    <w:basedOn w:val="a2"/>
    <w:rsid w:val="004A3D9A"/>
    <w:rPr>
      <w:sz w:val="21"/>
      <w:szCs w:val="21"/>
    </w:rPr>
  </w:style>
  <w:style w:type="paragraph" w:styleId="aff1">
    <w:name w:val="annotation text"/>
    <w:basedOn w:val="a1"/>
    <w:link w:val="aff2"/>
    <w:rsid w:val="004A3D9A"/>
    <w:pPr>
      <w:jc w:val="left"/>
    </w:pPr>
  </w:style>
  <w:style w:type="character" w:customStyle="1" w:styleId="aff2">
    <w:name w:val="批注文字 字符"/>
    <w:basedOn w:val="a2"/>
    <w:link w:val="aff1"/>
    <w:rsid w:val="004A3D9A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ff3">
    <w:name w:val="annotation subject"/>
    <w:basedOn w:val="aff1"/>
    <w:next w:val="aff1"/>
    <w:link w:val="aff4"/>
    <w:rsid w:val="004A3D9A"/>
    <w:rPr>
      <w:b/>
      <w:bCs/>
    </w:rPr>
  </w:style>
  <w:style w:type="character" w:customStyle="1" w:styleId="aff4">
    <w:name w:val="批注主题 字符"/>
    <w:basedOn w:val="aff2"/>
    <w:link w:val="aff3"/>
    <w:rsid w:val="004A3D9A"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character" w:styleId="aff5">
    <w:name w:val="Unresolved Mention"/>
    <w:basedOn w:val="a2"/>
    <w:uiPriority w:val="99"/>
    <w:semiHidden/>
    <w:unhideWhenUsed/>
    <w:rsid w:val="00240F6B"/>
    <w:rPr>
      <w:color w:val="605E5C"/>
      <w:shd w:val="clear" w:color="auto" w:fill="E1DFDD"/>
    </w:rPr>
  </w:style>
  <w:style w:type="character" w:styleId="aff6">
    <w:name w:val="FollowedHyperlink"/>
    <w:basedOn w:val="a2"/>
    <w:rsid w:val="00240F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4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inby/Library/Group%20Containers/UBF8T346G9.Office/User%20Content.localized/Templates.localized/sufe%20&#35770;&#25991;&#26684;&#2433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785F42E-114B-6348-83FD-B46B330203C8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20F3B3-F974-9643-B6F3-C4734EA4B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sufe 论文格式.dotx</Template>
  <TotalTime>188</TotalTime>
  <Pages>11</Pages>
  <Words>1744</Words>
  <Characters>9945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xin by</cp:lastModifiedBy>
  <cp:revision>128</cp:revision>
  <cp:lastPrinted>2023-01-03T08:18:00Z</cp:lastPrinted>
  <dcterms:created xsi:type="dcterms:W3CDTF">2023-05-06T05:56:00Z</dcterms:created>
  <dcterms:modified xsi:type="dcterms:W3CDTF">2023-05-07T12:15:00Z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D780DB5BBBFB4726A3A63B40783F20C7</vt:lpwstr>
  </property>
  <property fmtid="{D5CDD505-2E9C-101B-9397-08002B2CF9AE}" pid="4" name="ZOTERO_PREF_1">
    <vt:lpwstr>&lt;data data-version="3" zotero-version="6.0.13"&gt;&lt;session id="XJQlr6jJ"/&gt;&lt;style id="http://www.zotero.org/styles/china-national-standard-gb-t-7714-2015-numeric-bilan" hasBibliography="1" bibliographyStyleHasBeenSet="1"/&gt;&lt;prefs&gt;&lt;pref name="fieldType" value="</vt:lpwstr>
  </property>
  <property fmtid="{D5CDD505-2E9C-101B-9397-08002B2CF9AE}" pid="5" name="ZOTERO_PREF_2">
    <vt:lpwstr>Field"/&gt;&lt;/prefs&gt;&lt;/data&gt;</vt:lpwstr>
  </property>
</Properties>
</file>