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i8rwpbh1jg32" w:id="0"/>
    <w:bookmarkEnd w:id="0"/>
    <w:p w:rsidR="00000000" w:rsidDel="00000000" w:rsidP="00000000" w:rsidRDefault="00000000" w:rsidRPr="00000000" w14:paraId="00000001">
      <w:pPr>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4"/>
          <w:szCs w:val="24"/>
        </w:rPr>
        <w:drawing>
          <wp:inline distB="0" distT="0" distL="0" distR="0">
            <wp:extent cx="1485900" cy="41275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85900" cy="41275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br w:type="textWrapp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1"/>
          <w:i w:val="0"/>
          <w:smallCaps w:val="0"/>
          <w:strike w:val="0"/>
          <w:sz w:val="24"/>
          <w:szCs w:val="24"/>
          <w:highlight w:val="white"/>
          <w:u w:val="none"/>
          <w:vertAlign w:val="baseline"/>
        </w:rPr>
      </w:pPr>
      <w:r w:rsidDel="00000000" w:rsidR="00000000" w:rsidRPr="00000000">
        <w:rPr>
          <w:rFonts w:ascii="Times New Roman" w:cs="Times New Roman" w:eastAsia="Times New Roman" w:hAnsi="Times New Roman"/>
          <w:b w:val="1"/>
          <w:i w:val="0"/>
          <w:smallCaps w:val="0"/>
          <w:strike w:val="0"/>
          <w:sz w:val="24"/>
          <w:szCs w:val="24"/>
          <w:highlight w:val="white"/>
          <w:u w:val="none"/>
          <w:vertAlign w:val="baseline"/>
          <w:rtl w:val="0"/>
        </w:rPr>
        <w:t xml:space="preserve">TOBB ETU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1"/>
          <w:i w:val="0"/>
          <w:smallCaps w:val="0"/>
          <w:strike w:val="0"/>
          <w:sz w:val="24"/>
          <w:szCs w:val="24"/>
          <w:highlight w:val="white"/>
          <w:u w:val="none"/>
          <w:vertAlign w:val="baseline"/>
        </w:rPr>
      </w:pPr>
      <w:r w:rsidDel="00000000" w:rsidR="00000000" w:rsidRPr="00000000">
        <w:rPr>
          <w:rFonts w:ascii="Times New Roman" w:cs="Times New Roman" w:eastAsia="Times New Roman" w:hAnsi="Times New Roman"/>
          <w:b w:val="1"/>
          <w:i w:val="0"/>
          <w:smallCaps w:val="0"/>
          <w:strike w:val="0"/>
          <w:sz w:val="24"/>
          <w:szCs w:val="24"/>
          <w:highlight w:val="white"/>
          <w:u w:val="none"/>
          <w:vertAlign w:val="baseline"/>
          <w:rtl w:val="0"/>
        </w:rPr>
        <w:t xml:space="preserve">Economy &amp; Technology University</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1"/>
          <w:i w:val="0"/>
          <w:smallCaps w:val="0"/>
          <w:strike w:val="0"/>
          <w:sz w:val="24"/>
          <w:szCs w:val="24"/>
          <w:highlight w:val="white"/>
          <w:u w:val="none"/>
          <w:vertAlign w:val="baseline"/>
        </w:rPr>
      </w:pPr>
      <w:r w:rsidDel="00000000" w:rsidR="00000000" w:rsidRPr="00000000">
        <w:rPr>
          <w:rFonts w:ascii="Times New Roman" w:cs="Times New Roman" w:eastAsia="Times New Roman" w:hAnsi="Times New Roman"/>
          <w:b w:val="1"/>
          <w:i w:val="0"/>
          <w:smallCaps w:val="0"/>
          <w:strike w:val="0"/>
          <w:sz w:val="24"/>
          <w:szCs w:val="24"/>
          <w:highlight w:val="white"/>
          <w:u w:val="none"/>
          <w:vertAlign w:val="baseline"/>
          <w:rtl w:val="0"/>
        </w:rPr>
        <w:t xml:space="preserve">BIL 495 / YAP 49</w:t>
      </w:r>
      <w:r w:rsidDel="00000000" w:rsidR="00000000" w:rsidRPr="00000000">
        <w:rPr>
          <w:rFonts w:ascii="Times New Roman" w:cs="Times New Roman" w:eastAsia="Times New Roman" w:hAnsi="Times New Roman"/>
          <w:b w:val="1"/>
          <w:sz w:val="24"/>
          <w:szCs w:val="24"/>
          <w:highlight w:val="white"/>
          <w:rtl w:val="0"/>
        </w:rPr>
        <w:t xml:space="preserve">5</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br w:type="textWrapping"/>
      </w:r>
    </w:p>
    <w:p w:rsidR="00000000" w:rsidDel="00000000" w:rsidP="00000000" w:rsidRDefault="00000000" w:rsidRPr="00000000" w14:paraId="0000000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Software Requirements Specification (SRS)</w:t>
      </w:r>
    </w:p>
    <w:p w:rsidR="00000000" w:rsidDel="00000000" w:rsidP="00000000" w:rsidRDefault="00000000" w:rsidRPr="00000000" w14:paraId="00000007">
      <w:pP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sz w:val="24"/>
          <w:szCs w:val="24"/>
          <w:rtl w:val="0"/>
        </w:rPr>
        <w:t xml:space="preserve">Reference:</w:t>
      </w:r>
      <w:r w:rsidDel="00000000" w:rsidR="00000000" w:rsidRPr="00000000">
        <w:rPr>
          <w:rFonts w:ascii="Times New Roman" w:cs="Times New Roman" w:eastAsia="Times New Roman" w:hAnsi="Times New Roman"/>
          <w:i w:val="1"/>
          <w:sz w:val="24"/>
          <w:szCs w:val="24"/>
          <w:rtl w:val="0"/>
        </w:rPr>
        <w:t xml:space="preserve"> IEEE 830-1998 / ISO/IEC/IEEE 29148:2018 </w:t>
      </w:r>
    </w:p>
    <w:p w:rsidR="00000000" w:rsidDel="00000000" w:rsidP="00000000" w:rsidRDefault="00000000" w:rsidRPr="00000000" w14:paraId="00000008">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09">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Document Control Table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Title</w:t>
            </w:r>
          </w:p>
        </w:tc>
        <w:tc>
          <w:tcPr/>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AI-Enhanced Data Preprocessing and Ingestion Layer Closure Report</w:t>
            </w:r>
          </w:p>
        </w:tc>
      </w:tr>
      <w:tr>
        <w:trPr>
          <w:cantSplit w:val="0"/>
          <w:tblHeader w:val="0"/>
        </w:trPr>
        <w:tc>
          <w:tcPr/>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ID</w:t>
            </w:r>
          </w:p>
        </w:tc>
        <w:tc>
          <w:tcPr/>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be assigned)</w:t>
            </w:r>
          </w:p>
        </w:tc>
      </w:tr>
      <w:tr>
        <w:trPr>
          <w:cantSplit w:val="0"/>
          <w:tblHeader w:val="0"/>
        </w:trPr>
        <w:tc>
          <w:tcPr/>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 (Author)</w:t>
            </w:r>
          </w:p>
        </w:tc>
        <w:tc>
          <w:tcPr/>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 By</w:t>
            </w:r>
          </w:p>
        </w:tc>
        <w:tc>
          <w:tcPr/>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By</w:t>
            </w:r>
          </w:p>
        </w:tc>
        <w:tc>
          <w:tcPr/>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Preparation Date</w:t>
            </w:r>
          </w:p>
        </w:tc>
        <w:tc>
          <w:tcPr/>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30.10.2025</w:t>
            </w:r>
          </w:p>
        </w:tc>
      </w:tr>
      <w:tr>
        <w:trPr>
          <w:cantSplit w:val="0"/>
          <w:tblHeader w:val="0"/>
        </w:trPr>
        <w:tc>
          <w:tcPr/>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Date</w:t>
            </w:r>
          </w:p>
        </w:tc>
        <w:tc>
          <w:tcPr/>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 Revision</w:t>
            </w:r>
          </w:p>
        </w:tc>
        <w:tc>
          <w:tcPr/>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Confidentiality Level</w:t>
            </w:r>
          </w:p>
        </w:tc>
        <w:tc>
          <w:tcPr/>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 Restricted / Public</w:t>
            </w:r>
          </w:p>
        </w:tc>
      </w:tr>
      <w:tr>
        <w:trPr>
          <w:cantSplit w:val="0"/>
          <w:tblHeader w:val="0"/>
        </w:trPr>
        <w:tc>
          <w:tcPr/>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Standards</w:t>
            </w:r>
          </w:p>
        </w:tc>
        <w:tc>
          <w:tcPr/>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15288, IEEE 12207, INCOSE SE Handbook v5</w:t>
            </w:r>
          </w:p>
        </w:tc>
      </w:tr>
    </w:tbl>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pStyle w:val="Heading2"/>
        <w:rPr>
          <w:rFonts w:ascii="Times New Roman" w:cs="Times New Roman" w:eastAsia="Times New Roman" w:hAnsi="Times New Roman"/>
          <w:color w:val="000000"/>
          <w:sz w:val="24"/>
          <w:szCs w:val="24"/>
        </w:rPr>
      </w:pPr>
      <w:bookmarkStart w:colFirst="0" w:colLast="0" w:name="_heading=h.xzr7f2p8j8" w:id="1"/>
      <w:bookmarkEnd w:id="1"/>
      <w:r w:rsidDel="00000000" w:rsidR="00000000" w:rsidRPr="00000000">
        <w:rPr>
          <w:rFonts w:ascii="Times New Roman" w:cs="Times New Roman" w:eastAsia="Times New Roman" w:hAnsi="Times New Roman"/>
          <w:color w:val="000000"/>
          <w:sz w:val="24"/>
          <w:szCs w:val="24"/>
          <w:rtl w:val="0"/>
        </w:rPr>
        <w:t xml:space="preserve">Change Record (Revision History Table)</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w:t>
            </w:r>
          </w:p>
        </w:tc>
        <w:tc>
          <w:tcPr/>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Reviewed/Approved By</w:t>
            </w:r>
          </w:p>
        </w:tc>
        <w:tc>
          <w:tcPr/>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Change</w:t>
            </w:r>
          </w:p>
        </w:tc>
      </w:tr>
      <w:tr>
        <w:trPr>
          <w:cantSplit w:val="0"/>
          <w:tblHeader w:val="0"/>
        </w:trPr>
        <w:tc>
          <w:tcPr/>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30.10.2025</w:t>
            </w:r>
          </w:p>
        </w:tc>
        <w:tc>
          <w:tcPr/>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Release</w:t>
            </w:r>
          </w:p>
        </w:tc>
      </w:tr>
      <w:tr>
        <w:trPr>
          <w:cantSplit w:val="0"/>
          <w:tblHeader w:val="0"/>
        </w:trPr>
        <w:tc>
          <w:tcPr/>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Minor editorial updates</w:t>
            </w:r>
          </w:p>
        </w:tc>
      </w:tr>
      <w:tr>
        <w:trPr>
          <w:cantSplit w:val="0"/>
          <w:tblHeader w:val="0"/>
        </w:trPr>
        <w:tc>
          <w:tcPr/>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stakeholder feedback section</w:t>
            </w:r>
          </w:p>
        </w:tc>
      </w:tr>
    </w:tbl>
    <w:p w:rsidR="00000000" w:rsidDel="00000000" w:rsidP="00000000" w:rsidRDefault="00000000" w:rsidRPr="00000000" w14:paraId="00000034">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i w:val="1"/>
          <w:sz w:val="24"/>
          <w:szCs w:val="24"/>
        </w:rPr>
      </w:pPr>
      <w:r w:rsidDel="00000000" w:rsidR="00000000" w:rsidRPr="00000000">
        <w:rPr>
          <w:rtl w:val="0"/>
        </w:rPr>
      </w:r>
    </w:p>
    <w:sdt>
      <w:sdtPr>
        <w:id w:val="-417753305"/>
        <w:docPartObj>
          <w:docPartGallery w:val="Table of Contents"/>
          <w:docPartUnique w:val="1"/>
        </w:docPartObj>
      </w:sdtPr>
      <w:sdtContent>
        <w:p w:rsidR="00000000" w:rsidDel="00000000" w:rsidP="00000000" w:rsidRDefault="00000000" w:rsidRPr="00000000" w14:paraId="0000003A">
          <w:pPr>
            <w:widowControl w:val="0"/>
            <w:spacing w:after="0" w:before="60" w:line="240" w:lineRule="auto"/>
            <w:rPr>
              <w:rFonts w:ascii="Times New Roman" w:cs="Times New Roman" w:eastAsia="Times New Roman" w:hAnsi="Times New Roman"/>
              <w:sz w:val="24"/>
              <w:szCs w:val="24"/>
              <w:u w:val="singl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sz w:val="24"/>
                <w:szCs w:val="24"/>
                <w:u w:val="single"/>
                <w:rtl w:val="0"/>
              </w:rPr>
              <w:t xml:space="preserve">1. Introduction</w:t>
            </w:r>
          </w:hyperlink>
          <w:r w:rsidDel="00000000" w:rsidR="00000000" w:rsidRPr="00000000">
            <w:rPr>
              <w:rtl w:val="0"/>
            </w:rPr>
          </w:r>
        </w:p>
        <w:p w:rsidR="00000000" w:rsidDel="00000000" w:rsidP="00000000" w:rsidRDefault="00000000" w:rsidRPr="00000000" w14:paraId="0000003B">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1.1 Purpose</w:t>
            </w:r>
          </w:hyperlink>
          <w:r w:rsidDel="00000000" w:rsidR="00000000" w:rsidRPr="00000000">
            <w:rPr>
              <w:rtl w:val="0"/>
            </w:rPr>
          </w:r>
        </w:p>
        <w:p w:rsidR="00000000" w:rsidDel="00000000" w:rsidP="00000000" w:rsidRDefault="00000000" w:rsidRPr="00000000" w14:paraId="0000003C">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1.2 Scope</w:t>
            </w:r>
          </w:hyperlink>
          <w:r w:rsidDel="00000000" w:rsidR="00000000" w:rsidRPr="00000000">
            <w:rPr>
              <w:rtl w:val="0"/>
            </w:rPr>
          </w:r>
        </w:p>
        <w:p w:rsidR="00000000" w:rsidDel="00000000" w:rsidP="00000000" w:rsidRDefault="00000000" w:rsidRPr="00000000" w14:paraId="0000003D">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1.3 Definitions, Acronyms, Abbreviations</w:t>
            </w:r>
          </w:hyperlink>
          <w:r w:rsidDel="00000000" w:rsidR="00000000" w:rsidRPr="00000000">
            <w:rPr>
              <w:rtl w:val="0"/>
            </w:rPr>
          </w:r>
        </w:p>
        <w:p w:rsidR="00000000" w:rsidDel="00000000" w:rsidP="00000000" w:rsidRDefault="00000000" w:rsidRPr="00000000" w14:paraId="0000003E">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1.4 References</w:t>
            </w:r>
          </w:hyperlink>
          <w:r w:rsidDel="00000000" w:rsidR="00000000" w:rsidRPr="00000000">
            <w:rPr>
              <w:rtl w:val="0"/>
            </w:rPr>
          </w:r>
        </w:p>
        <w:p w:rsidR="00000000" w:rsidDel="00000000" w:rsidP="00000000" w:rsidRDefault="00000000" w:rsidRPr="00000000" w14:paraId="0000003F">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1.5 Overview</w:t>
            </w:r>
          </w:hyperlink>
          <w:r w:rsidDel="00000000" w:rsidR="00000000" w:rsidRPr="00000000">
            <w:rPr>
              <w:rtl w:val="0"/>
            </w:rPr>
          </w:r>
        </w:p>
        <w:p w:rsidR="00000000" w:rsidDel="00000000" w:rsidP="00000000" w:rsidRDefault="00000000" w:rsidRPr="00000000" w14:paraId="00000040">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2. Overall Description</w:t>
            </w:r>
          </w:hyperlink>
          <w:r w:rsidDel="00000000" w:rsidR="00000000" w:rsidRPr="00000000">
            <w:rPr>
              <w:rtl w:val="0"/>
            </w:rPr>
          </w:r>
        </w:p>
        <w:p w:rsidR="00000000" w:rsidDel="00000000" w:rsidP="00000000" w:rsidRDefault="00000000" w:rsidRPr="00000000" w14:paraId="00000041">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2.1 Product Perspective</w:t>
            </w:r>
          </w:hyperlink>
          <w:r w:rsidDel="00000000" w:rsidR="00000000" w:rsidRPr="00000000">
            <w:rPr>
              <w:rtl w:val="0"/>
            </w:rPr>
          </w:r>
        </w:p>
        <w:p w:rsidR="00000000" w:rsidDel="00000000" w:rsidP="00000000" w:rsidRDefault="00000000" w:rsidRPr="00000000" w14:paraId="00000042">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2.2 Product Functions</w:t>
            </w:r>
          </w:hyperlink>
          <w:r w:rsidDel="00000000" w:rsidR="00000000" w:rsidRPr="00000000">
            <w:rPr>
              <w:rtl w:val="0"/>
            </w:rPr>
          </w:r>
        </w:p>
        <w:p w:rsidR="00000000" w:rsidDel="00000000" w:rsidP="00000000" w:rsidRDefault="00000000" w:rsidRPr="00000000" w14:paraId="00000043">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2.3 User Characteristics</w:t>
            </w:r>
          </w:hyperlink>
          <w:r w:rsidDel="00000000" w:rsidR="00000000" w:rsidRPr="00000000">
            <w:rPr>
              <w:rtl w:val="0"/>
            </w:rPr>
          </w:r>
        </w:p>
        <w:p w:rsidR="00000000" w:rsidDel="00000000" w:rsidP="00000000" w:rsidRDefault="00000000" w:rsidRPr="00000000" w14:paraId="00000044">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2.4 Constraints</w:t>
            </w:r>
          </w:hyperlink>
          <w:r w:rsidDel="00000000" w:rsidR="00000000" w:rsidRPr="00000000">
            <w:rPr>
              <w:rtl w:val="0"/>
            </w:rPr>
          </w:r>
        </w:p>
        <w:p w:rsidR="00000000" w:rsidDel="00000000" w:rsidP="00000000" w:rsidRDefault="00000000" w:rsidRPr="00000000" w14:paraId="00000045">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2.5 Assumptions and Dependencies</w:t>
            </w:r>
          </w:hyperlink>
          <w:r w:rsidDel="00000000" w:rsidR="00000000" w:rsidRPr="00000000">
            <w:rPr>
              <w:rtl w:val="0"/>
            </w:rPr>
          </w:r>
        </w:p>
        <w:p w:rsidR="00000000" w:rsidDel="00000000" w:rsidP="00000000" w:rsidRDefault="00000000" w:rsidRPr="00000000" w14:paraId="00000046">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3. Specific Requirements</w:t>
            </w:r>
          </w:hyperlink>
          <w:r w:rsidDel="00000000" w:rsidR="00000000" w:rsidRPr="00000000">
            <w:rPr>
              <w:rtl w:val="0"/>
            </w:rPr>
          </w:r>
        </w:p>
        <w:p w:rsidR="00000000" w:rsidDel="00000000" w:rsidP="00000000" w:rsidRDefault="00000000" w:rsidRPr="00000000" w14:paraId="00000047">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3.1 Functional Requirements</w:t>
            </w:r>
          </w:hyperlink>
          <w:r w:rsidDel="00000000" w:rsidR="00000000" w:rsidRPr="00000000">
            <w:rPr>
              <w:rtl w:val="0"/>
            </w:rPr>
          </w:r>
        </w:p>
        <w:p w:rsidR="00000000" w:rsidDel="00000000" w:rsidP="00000000" w:rsidRDefault="00000000" w:rsidRPr="00000000" w14:paraId="00000048">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3.2 External Interface Requirements</w:t>
            </w:r>
          </w:hyperlink>
          <w:r w:rsidDel="00000000" w:rsidR="00000000" w:rsidRPr="00000000">
            <w:rPr>
              <w:rtl w:val="0"/>
            </w:rPr>
          </w:r>
        </w:p>
        <w:p w:rsidR="00000000" w:rsidDel="00000000" w:rsidP="00000000" w:rsidRDefault="00000000" w:rsidRPr="00000000" w14:paraId="00000049">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3.3 Performance Requirements</w:t>
            </w:r>
          </w:hyperlink>
          <w:r w:rsidDel="00000000" w:rsidR="00000000" w:rsidRPr="00000000">
            <w:rPr>
              <w:rtl w:val="0"/>
            </w:rPr>
          </w:r>
        </w:p>
        <w:p w:rsidR="00000000" w:rsidDel="00000000" w:rsidP="00000000" w:rsidRDefault="00000000" w:rsidRPr="00000000" w14:paraId="0000004A">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3.4 Design Constraints</w:t>
            </w:r>
          </w:hyperlink>
          <w:r w:rsidDel="00000000" w:rsidR="00000000" w:rsidRPr="00000000">
            <w:rPr>
              <w:rtl w:val="0"/>
            </w:rPr>
          </w:r>
        </w:p>
        <w:p w:rsidR="00000000" w:rsidDel="00000000" w:rsidP="00000000" w:rsidRDefault="00000000" w:rsidRPr="00000000" w14:paraId="0000004B">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3.5 Software System Attributes</w:t>
            </w:r>
          </w:hyperlink>
          <w:r w:rsidDel="00000000" w:rsidR="00000000" w:rsidRPr="00000000">
            <w:rPr>
              <w:rtl w:val="0"/>
            </w:rPr>
          </w:r>
        </w:p>
        <w:p w:rsidR="00000000" w:rsidDel="00000000" w:rsidP="00000000" w:rsidRDefault="00000000" w:rsidRPr="00000000" w14:paraId="0000004C">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3.6 Other Requirements</w:t>
            </w:r>
          </w:hyperlink>
          <w:r w:rsidDel="00000000" w:rsidR="00000000" w:rsidRPr="00000000">
            <w:rPr>
              <w:rtl w:val="0"/>
            </w:rPr>
          </w:r>
        </w:p>
        <w:p w:rsidR="00000000" w:rsidDel="00000000" w:rsidP="00000000" w:rsidRDefault="00000000" w:rsidRPr="00000000" w14:paraId="0000004D">
          <w:pPr>
            <w:widowControl w:val="0"/>
            <w:spacing w:after="0" w:before="60" w:line="240" w:lineRule="auto"/>
            <w:rPr>
              <w:rFonts w:ascii="Times New Roman" w:cs="Times New Roman" w:eastAsia="Times New Roman" w:hAnsi="Times New Roman"/>
              <w:sz w:val="24"/>
              <w:szCs w:val="24"/>
              <w:u w:val="single"/>
            </w:rPr>
          </w:pPr>
          <w:hyperlink w:anchor="_heading=">
            <w:r w:rsidDel="00000000" w:rsidR="00000000" w:rsidRPr="00000000">
              <w:rPr>
                <w:rFonts w:ascii="Times New Roman" w:cs="Times New Roman" w:eastAsia="Times New Roman" w:hAnsi="Times New Roman"/>
                <w:sz w:val="24"/>
                <w:szCs w:val="24"/>
                <w:u w:val="single"/>
                <w:rtl w:val="0"/>
              </w:rPr>
              <w:t xml:space="preserve">4. Appendices</w:t>
            </w:r>
          </w:hyperlink>
          <w:r w:rsidDel="00000000" w:rsidR="00000000" w:rsidRPr="00000000">
            <w:rPr>
              <w:rtl w:val="0"/>
            </w:rPr>
          </w:r>
        </w:p>
        <w:p w:rsidR="00000000" w:rsidDel="00000000" w:rsidP="00000000" w:rsidRDefault="00000000" w:rsidRPr="00000000" w14:paraId="0000004E">
          <w:pPr>
            <w:widowControl w:val="0"/>
            <w:spacing w:after="0" w:before="60" w:line="240" w:lineRule="auto"/>
            <w:rPr>
              <w:rFonts w:ascii="Times New Roman" w:cs="Times New Roman" w:eastAsia="Times New Roman" w:hAnsi="Times New Roman"/>
              <w:sz w:val="24"/>
              <w:szCs w:val="24"/>
              <w:u w:val="single"/>
            </w:rPr>
          </w:pPr>
          <w:hyperlink w:anchor="_heading=h.a6qvajnlk889">
            <w:r w:rsidDel="00000000" w:rsidR="00000000" w:rsidRPr="00000000">
              <w:rPr>
                <w:rFonts w:ascii="Times New Roman" w:cs="Times New Roman" w:eastAsia="Times New Roman" w:hAnsi="Times New Roman"/>
                <w:sz w:val="24"/>
                <w:szCs w:val="24"/>
                <w:u w:val="single"/>
                <w:rtl w:val="0"/>
              </w:rPr>
              <w:t xml:space="preserve">4. References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54">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 Introduction</w:t>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1.1 Purpose</w:t>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exists to specify requirements of software. Make developer teams keep track of requirements easy, unambiguous and complete </w:t>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1.2 Scope</w:t>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is named AI-Enhanced Data Preprocessing and Ingestion Layer. It shall take real time sensor data from NICU devices and before feed to AI diagnosis modules it will standardize according to HL7, Dicom standards and do quality check. Store these data. Display realtime AI diagnosis while being sure about the patient's health and personal data according to GDPR.</w:t>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1.3 Definitions, Acronyms, Abbreviations</w:t>
      </w:r>
    </w:p>
    <w:p w:rsidR="00000000" w:rsidDel="00000000" w:rsidP="00000000" w:rsidRDefault="00000000" w:rsidRPr="00000000" w14:paraId="0000005E">
      <w:pPr>
        <w:numPr>
          <w:ilvl w:val="0"/>
          <w:numId w:val="1"/>
        </w:numPr>
        <w:shd w:fill="ffffff" w:val="clea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AI:</w:t>
      </w:r>
      <w:r w:rsidDel="00000000" w:rsidR="00000000" w:rsidRPr="00000000">
        <w:rPr>
          <w:rFonts w:ascii="Times New Roman" w:cs="Times New Roman" w:eastAsia="Times New Roman" w:hAnsi="Times New Roman"/>
          <w:color w:val="1f1f1f"/>
          <w:sz w:val="24"/>
          <w:szCs w:val="24"/>
          <w:rtl w:val="0"/>
        </w:rPr>
        <w:t xml:space="preserve"> Artificial Intelligence. The intelligence of machines and the branch of computer science that aims to create it.</w:t>
      </w:r>
    </w:p>
    <w:p w:rsidR="00000000" w:rsidDel="00000000" w:rsidP="00000000" w:rsidRDefault="00000000" w:rsidRPr="00000000" w14:paraId="0000005F">
      <w:pPr>
        <w:numPr>
          <w:ilvl w:val="0"/>
          <w:numId w:val="1"/>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NICU:</w:t>
      </w:r>
      <w:r w:rsidDel="00000000" w:rsidR="00000000" w:rsidRPr="00000000">
        <w:rPr>
          <w:rFonts w:ascii="Times New Roman" w:cs="Times New Roman" w:eastAsia="Times New Roman" w:hAnsi="Times New Roman"/>
          <w:color w:val="1f1f1f"/>
          <w:sz w:val="24"/>
          <w:szCs w:val="24"/>
          <w:rtl w:val="0"/>
        </w:rPr>
        <w:t xml:space="preserve"> Neonatal Intensive Care Unit. A specialized unit in a hospital for the care of ill or premature newborn infants.</w:t>
      </w:r>
    </w:p>
    <w:p w:rsidR="00000000" w:rsidDel="00000000" w:rsidP="00000000" w:rsidRDefault="00000000" w:rsidRPr="00000000" w14:paraId="00000060">
      <w:pPr>
        <w:numPr>
          <w:ilvl w:val="0"/>
          <w:numId w:val="1"/>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HL7:</w:t>
      </w:r>
      <w:r w:rsidDel="00000000" w:rsidR="00000000" w:rsidRPr="00000000">
        <w:rPr>
          <w:rFonts w:ascii="Times New Roman" w:cs="Times New Roman" w:eastAsia="Times New Roman" w:hAnsi="Times New Roman"/>
          <w:color w:val="1f1f1f"/>
          <w:sz w:val="24"/>
          <w:szCs w:val="24"/>
          <w:rtl w:val="0"/>
        </w:rPr>
        <w:t xml:space="preserve"> Health Level Seven. A set of international standards for transfer of clinical and administrative data between software applications used by various healthcare providers.</w:t>
      </w:r>
    </w:p>
    <w:p w:rsidR="00000000" w:rsidDel="00000000" w:rsidP="00000000" w:rsidRDefault="00000000" w:rsidRPr="00000000" w14:paraId="00000061">
      <w:pPr>
        <w:numPr>
          <w:ilvl w:val="0"/>
          <w:numId w:val="1"/>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DICOM:</w:t>
      </w:r>
      <w:r w:rsidDel="00000000" w:rsidR="00000000" w:rsidRPr="00000000">
        <w:rPr>
          <w:rFonts w:ascii="Times New Roman" w:cs="Times New Roman" w:eastAsia="Times New Roman" w:hAnsi="Times New Roman"/>
          <w:color w:val="1f1f1f"/>
          <w:sz w:val="24"/>
          <w:szCs w:val="24"/>
          <w:rtl w:val="0"/>
        </w:rPr>
        <w:t xml:space="preserve"> Digital Imaging and Communications in Medicine. The international standard to transmit, store, retrieve, print, process, and display medical imaging information.</w:t>
      </w:r>
    </w:p>
    <w:p w:rsidR="00000000" w:rsidDel="00000000" w:rsidP="00000000" w:rsidRDefault="00000000" w:rsidRPr="00000000" w14:paraId="00000062">
      <w:pPr>
        <w:numPr>
          <w:ilvl w:val="0"/>
          <w:numId w:val="1"/>
        </w:numPr>
        <w:shd w:fill="ffffff" w:val="clear"/>
        <w:spacing w:after="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GDPR:</w:t>
      </w:r>
      <w:r w:rsidDel="00000000" w:rsidR="00000000" w:rsidRPr="00000000">
        <w:rPr>
          <w:rFonts w:ascii="Times New Roman" w:cs="Times New Roman" w:eastAsia="Times New Roman" w:hAnsi="Times New Roman"/>
          <w:color w:val="1f1f1f"/>
          <w:sz w:val="24"/>
          <w:szCs w:val="24"/>
          <w:rtl w:val="0"/>
        </w:rPr>
        <w:t xml:space="preserve"> General Data Protection Regulation. A regulation in EU law on data protection and privacy in the European Union and the European Economic Area.</w:t>
      </w:r>
      <w:r w:rsidDel="00000000" w:rsidR="00000000" w:rsidRPr="00000000">
        <w:rPr>
          <w:rtl w:val="0"/>
        </w:rPr>
      </w:r>
    </w:p>
    <w:p w:rsidR="00000000" w:rsidDel="00000000" w:rsidP="00000000" w:rsidRDefault="00000000" w:rsidRPr="00000000" w14:paraId="00000063">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1.4 References</w:t>
      </w:r>
    </w:p>
    <w:p w:rsidR="00000000" w:rsidDel="00000000" w:rsidP="00000000" w:rsidRDefault="00000000" w:rsidRPr="00000000" w14:paraId="00000064">
      <w:pPr>
        <w:numPr>
          <w:ilvl w:val="0"/>
          <w:numId w:val="12"/>
        </w:numPr>
        <w:shd w:fill="ffffff" w:val="clea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HL7</w:t>
      </w:r>
      <w:r w:rsidDel="00000000" w:rsidR="00000000" w:rsidRPr="00000000">
        <w:rPr>
          <w:rFonts w:ascii="Times New Roman" w:cs="Times New Roman" w:eastAsia="Times New Roman" w:hAnsi="Times New Roman"/>
          <w:color w:val="1f1f1f"/>
          <w:sz w:val="24"/>
          <w:szCs w:val="24"/>
          <w:rtl w:val="0"/>
        </w:rPr>
        <w:t xml:space="preserve">: Health Level Seven</w:t>
      </w:r>
    </w:p>
    <w:p w:rsidR="00000000" w:rsidDel="00000000" w:rsidP="00000000" w:rsidRDefault="00000000" w:rsidRPr="00000000" w14:paraId="00000065">
      <w:pPr>
        <w:numPr>
          <w:ilvl w:val="0"/>
          <w:numId w:val="12"/>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DICOM</w:t>
      </w:r>
      <w:r w:rsidDel="00000000" w:rsidR="00000000" w:rsidRPr="00000000">
        <w:rPr>
          <w:rFonts w:ascii="Times New Roman" w:cs="Times New Roman" w:eastAsia="Times New Roman" w:hAnsi="Times New Roman"/>
          <w:color w:val="1f1f1f"/>
          <w:sz w:val="24"/>
          <w:szCs w:val="24"/>
          <w:rtl w:val="0"/>
        </w:rPr>
        <w:t xml:space="preserve">: Digital Imaging and Communications in Medicine</w:t>
      </w:r>
    </w:p>
    <w:p w:rsidR="00000000" w:rsidDel="00000000" w:rsidP="00000000" w:rsidRDefault="00000000" w:rsidRPr="00000000" w14:paraId="00000066">
      <w:pPr>
        <w:numPr>
          <w:ilvl w:val="0"/>
          <w:numId w:val="12"/>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GDPR</w:t>
      </w:r>
      <w:r w:rsidDel="00000000" w:rsidR="00000000" w:rsidRPr="00000000">
        <w:rPr>
          <w:rFonts w:ascii="Times New Roman" w:cs="Times New Roman" w:eastAsia="Times New Roman" w:hAnsi="Times New Roman"/>
          <w:color w:val="1f1f1f"/>
          <w:sz w:val="24"/>
          <w:szCs w:val="24"/>
          <w:rtl w:val="0"/>
        </w:rPr>
        <w:t xml:space="preserve">: General Data Protection Regulation</w:t>
      </w:r>
    </w:p>
    <w:p w:rsidR="00000000" w:rsidDel="00000000" w:rsidP="00000000" w:rsidRDefault="00000000" w:rsidRPr="00000000" w14:paraId="00000067">
      <w:pPr>
        <w:numPr>
          <w:ilvl w:val="0"/>
          <w:numId w:val="12"/>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IEEE 830-1998</w:t>
      </w:r>
      <w:r w:rsidDel="00000000" w:rsidR="00000000" w:rsidRPr="00000000">
        <w:rPr>
          <w:rFonts w:ascii="Times New Roman" w:cs="Times New Roman" w:eastAsia="Times New Roman" w:hAnsi="Times New Roman"/>
          <w:color w:val="1f1f1f"/>
          <w:sz w:val="24"/>
          <w:szCs w:val="24"/>
          <w:rtl w:val="0"/>
        </w:rPr>
        <w:t xml:space="preserve">: IEEE Recommended Practice for Software Requirements Specifications</w:t>
      </w:r>
    </w:p>
    <w:p w:rsidR="00000000" w:rsidDel="00000000" w:rsidP="00000000" w:rsidRDefault="00000000" w:rsidRPr="00000000" w14:paraId="00000068">
      <w:pPr>
        <w:numPr>
          <w:ilvl w:val="0"/>
          <w:numId w:val="12"/>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ISO/IEC/IEEE 29148:2018</w:t>
      </w:r>
      <w:r w:rsidDel="00000000" w:rsidR="00000000" w:rsidRPr="00000000">
        <w:rPr>
          <w:rFonts w:ascii="Times New Roman" w:cs="Times New Roman" w:eastAsia="Times New Roman" w:hAnsi="Times New Roman"/>
          <w:color w:val="1f1f1f"/>
          <w:sz w:val="24"/>
          <w:szCs w:val="24"/>
          <w:rtl w:val="0"/>
        </w:rPr>
        <w:t xml:space="preserve">: Systems and software engineering — Life cycle processes — Requirements engineering</w:t>
      </w:r>
    </w:p>
    <w:p w:rsidR="00000000" w:rsidDel="00000000" w:rsidP="00000000" w:rsidRDefault="00000000" w:rsidRPr="00000000" w14:paraId="00000069">
      <w:pPr>
        <w:numPr>
          <w:ilvl w:val="0"/>
          <w:numId w:val="12"/>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IEEE 15288</w:t>
      </w:r>
      <w:r w:rsidDel="00000000" w:rsidR="00000000" w:rsidRPr="00000000">
        <w:rPr>
          <w:rFonts w:ascii="Times New Roman" w:cs="Times New Roman" w:eastAsia="Times New Roman" w:hAnsi="Times New Roman"/>
          <w:color w:val="1f1f1f"/>
          <w:sz w:val="24"/>
          <w:szCs w:val="24"/>
          <w:rtl w:val="0"/>
        </w:rPr>
        <w:t xml:space="preserve">: Standard for Application and Management of the Systems Engineering Process</w:t>
      </w:r>
    </w:p>
    <w:p w:rsidR="00000000" w:rsidDel="00000000" w:rsidP="00000000" w:rsidRDefault="00000000" w:rsidRPr="00000000" w14:paraId="0000006A">
      <w:pPr>
        <w:numPr>
          <w:ilvl w:val="0"/>
          <w:numId w:val="12"/>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IEEE 12207:</w:t>
      </w:r>
      <w:r w:rsidDel="00000000" w:rsidR="00000000" w:rsidRPr="00000000">
        <w:rPr>
          <w:rFonts w:ascii="Times New Roman" w:cs="Times New Roman" w:eastAsia="Times New Roman" w:hAnsi="Times New Roman"/>
          <w:color w:val="1f1f1f"/>
          <w:sz w:val="24"/>
          <w:szCs w:val="24"/>
          <w:rtl w:val="0"/>
        </w:rPr>
        <w:t xml:space="preserve"> Standard for Information Technology — Software Life Cycle Processes</w:t>
      </w:r>
    </w:p>
    <w:p w:rsidR="00000000" w:rsidDel="00000000" w:rsidP="00000000" w:rsidRDefault="00000000" w:rsidRPr="00000000" w14:paraId="0000006B">
      <w:pPr>
        <w:numPr>
          <w:ilvl w:val="0"/>
          <w:numId w:val="12"/>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INCOSE SE Handbook v5:</w:t>
      </w:r>
      <w:r w:rsidDel="00000000" w:rsidR="00000000" w:rsidRPr="00000000">
        <w:rPr>
          <w:rFonts w:ascii="Times New Roman" w:cs="Times New Roman" w:eastAsia="Times New Roman" w:hAnsi="Times New Roman"/>
          <w:color w:val="1f1f1f"/>
          <w:sz w:val="24"/>
          <w:szCs w:val="24"/>
          <w:rtl w:val="0"/>
        </w:rPr>
        <w:t xml:space="preserve"> INCOSE Systems Engineering Handbook, Version 5</w:t>
      </w:r>
    </w:p>
    <w:p w:rsidR="00000000" w:rsidDel="00000000" w:rsidP="00000000" w:rsidRDefault="00000000" w:rsidRPr="00000000" w14:paraId="0000006C">
      <w:pPr>
        <w:numPr>
          <w:ilvl w:val="0"/>
          <w:numId w:val="12"/>
        </w:numPr>
        <w:shd w:fill="ffffff" w:val="clear"/>
        <w:spacing w:after="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ISO/IEC 25010:2011:</w:t>
      </w:r>
      <w:r w:rsidDel="00000000" w:rsidR="00000000" w:rsidRPr="00000000">
        <w:rPr>
          <w:rFonts w:ascii="Times New Roman" w:cs="Times New Roman" w:eastAsia="Times New Roman" w:hAnsi="Times New Roman"/>
          <w:color w:val="1f1f1f"/>
          <w:sz w:val="24"/>
          <w:szCs w:val="24"/>
          <w:rtl w:val="0"/>
        </w:rPr>
        <w:t xml:space="preserve"> Systems and software engineering — Systems and software Quality Requirements and Evaluation (SQuaRE) — System and software quality models</w:t>
      </w:r>
      <w:r w:rsidDel="00000000" w:rsidR="00000000" w:rsidRPr="00000000">
        <w:rPr>
          <w:rtl w:val="0"/>
        </w:rPr>
      </w:r>
    </w:p>
    <w:p w:rsidR="00000000" w:rsidDel="00000000" w:rsidP="00000000" w:rsidRDefault="00000000" w:rsidRPr="00000000" w14:paraId="0000006D">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1.5 Overview</w:t>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highlight w:val="white"/>
          <w:rtl w:val="0"/>
        </w:rPr>
        <w:t xml:space="preserve">This document is structured to provide a comprehensive Software Requirements Specification (SRS). Following this introductory section, Section 2, "Overall Description," will detail the product's perspective, functions, user characteristics, constraints, assumptions, and dependencies. Section 3, "Specific Requirements," will then elaborate on functional, external interface, performance, design, and software system attributes, including a note on the transition from Non-Functional Requirements to System and Software Quality Attributes. Finally, Section 4 will contain "Appendices" for supporting details, and Section 5 will list "References."</w:t>
      </w:r>
      <w:r w:rsidDel="00000000" w:rsidR="00000000" w:rsidRPr="00000000">
        <w:rPr>
          <w:rtl w:val="0"/>
        </w:rPr>
      </w:r>
    </w:p>
    <w:p w:rsidR="00000000" w:rsidDel="00000000" w:rsidP="00000000" w:rsidRDefault="00000000" w:rsidRPr="00000000" w14:paraId="0000006F">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 Overall Description</w:t>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 Product Perspective</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operate between multiple NICU devices, Databases and AI Modules. It shall transfer data constantly in real time and  shall be constructed to be modular and easy to integrate with these external actors. </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 Product Functions</w:t>
      </w:r>
    </w:p>
    <w:p w:rsidR="00000000" w:rsidDel="00000000" w:rsidP="00000000" w:rsidRDefault="00000000" w:rsidRPr="00000000" w14:paraId="00000076">
      <w:pPr>
        <w:rPr>
          <w:rFonts w:ascii="Times New Roman" w:cs="Times New Roman" w:eastAsia="Times New Roman" w:hAnsi="Times New Roman"/>
          <w:color w:val="1f1f1f"/>
          <w:sz w:val="24"/>
          <w:szCs w:val="24"/>
          <w:highlight w:val="white"/>
        </w:rPr>
      </w:pPr>
      <w:r w:rsidDel="00000000" w:rsidR="00000000" w:rsidRPr="00000000">
        <w:rPr>
          <w:rFonts w:ascii="Times New Roman" w:cs="Times New Roman" w:eastAsia="Times New Roman" w:hAnsi="Times New Roman"/>
          <w:color w:val="1f1f1f"/>
          <w:sz w:val="24"/>
          <w:szCs w:val="24"/>
          <w:highlight w:val="white"/>
          <w:rtl w:val="0"/>
        </w:rPr>
        <w:t xml:space="preserve">The AI-Enhanced Data Preprocessing and Ingestion Layer will primarily ensure that real-time sensor data from NICU devices is accurately prepared and managed before being used by AI diagnosis modules. Its key functions include:</w:t>
      </w:r>
    </w:p>
    <w:p w:rsidR="00000000" w:rsidDel="00000000" w:rsidP="00000000" w:rsidRDefault="00000000" w:rsidRPr="00000000" w14:paraId="00000077">
      <w:pPr>
        <w:numPr>
          <w:ilvl w:val="0"/>
          <w:numId w:val="7"/>
        </w:numPr>
        <w:shd w:fill="ffffff" w:val="clea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Data Standardization:</w:t>
      </w:r>
      <w:r w:rsidDel="00000000" w:rsidR="00000000" w:rsidRPr="00000000">
        <w:rPr>
          <w:rFonts w:ascii="Times New Roman" w:cs="Times New Roman" w:eastAsia="Times New Roman" w:hAnsi="Times New Roman"/>
          <w:color w:val="1f1f1f"/>
          <w:sz w:val="24"/>
          <w:szCs w:val="24"/>
          <w:rtl w:val="0"/>
        </w:rPr>
        <w:t xml:space="preserve"> The system shall convert incoming sensor data into standardized formats (HL7, DICOM) to ensure compatibility and consistency across different healthcare systems.</w:t>
      </w:r>
    </w:p>
    <w:p w:rsidR="00000000" w:rsidDel="00000000" w:rsidP="00000000" w:rsidRDefault="00000000" w:rsidRPr="00000000" w14:paraId="00000078">
      <w:pPr>
        <w:numPr>
          <w:ilvl w:val="0"/>
          <w:numId w:val="7"/>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Quality Control:</w:t>
      </w:r>
      <w:r w:rsidDel="00000000" w:rsidR="00000000" w:rsidRPr="00000000">
        <w:rPr>
          <w:rFonts w:ascii="Times New Roman" w:cs="Times New Roman" w:eastAsia="Times New Roman" w:hAnsi="Times New Roman"/>
          <w:color w:val="1f1f1f"/>
          <w:sz w:val="24"/>
          <w:szCs w:val="24"/>
          <w:rtl w:val="0"/>
        </w:rPr>
        <w:t xml:space="preserve"> The system shall perform checks on the data to ensure its accuracy and completeness, preventing faulty or incomplete information from reaching the AI diagnosis modules.</w:t>
      </w:r>
    </w:p>
    <w:p w:rsidR="00000000" w:rsidDel="00000000" w:rsidP="00000000" w:rsidRDefault="00000000" w:rsidRPr="00000000" w14:paraId="00000079">
      <w:pPr>
        <w:numPr>
          <w:ilvl w:val="0"/>
          <w:numId w:val="7"/>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Secure Storage:</w:t>
      </w:r>
      <w:r w:rsidDel="00000000" w:rsidR="00000000" w:rsidRPr="00000000">
        <w:rPr>
          <w:rFonts w:ascii="Times New Roman" w:cs="Times New Roman" w:eastAsia="Times New Roman" w:hAnsi="Times New Roman"/>
          <w:color w:val="1f1f1f"/>
          <w:sz w:val="24"/>
          <w:szCs w:val="24"/>
          <w:rtl w:val="0"/>
        </w:rPr>
        <w:t xml:space="preserve"> The system shall securely store all processed data, adhering to privacy regulations like GDPR to protect patient health and personal information.</w:t>
      </w:r>
    </w:p>
    <w:p w:rsidR="00000000" w:rsidDel="00000000" w:rsidP="00000000" w:rsidRDefault="00000000" w:rsidRPr="00000000" w14:paraId="0000007A">
      <w:pPr>
        <w:numPr>
          <w:ilvl w:val="0"/>
          <w:numId w:val="7"/>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Real-time Diagnosis Display:</w:t>
      </w:r>
      <w:r w:rsidDel="00000000" w:rsidR="00000000" w:rsidRPr="00000000">
        <w:rPr>
          <w:rFonts w:ascii="Times New Roman" w:cs="Times New Roman" w:eastAsia="Times New Roman" w:hAnsi="Times New Roman"/>
          <w:color w:val="1f1f1f"/>
          <w:sz w:val="24"/>
          <w:szCs w:val="24"/>
          <w:rtl w:val="0"/>
        </w:rPr>
        <w:t xml:space="preserve"> The system shall facilitate the real-time display of AI diagnoses, ensuring that medical professionals have immediate access to critical insights while maintaining strict patient data privacy.</w:t>
      </w:r>
    </w:p>
    <w:p w:rsidR="00000000" w:rsidDel="00000000" w:rsidP="00000000" w:rsidRDefault="00000000" w:rsidRPr="00000000" w14:paraId="0000007B">
      <w:pPr>
        <w:numPr>
          <w:ilvl w:val="0"/>
          <w:numId w:val="7"/>
        </w:numPr>
        <w:shd w:fill="ffffff" w:val="clear"/>
        <w:spacing w:after="0" w:before="0" w:beforeAutospacing="0" w:lineRule="auto"/>
        <w:ind w:left="720" w:hanging="360"/>
        <w:rPr>
          <w:rFonts w:ascii="Roboto" w:cs="Roboto" w:eastAsia="Roboto" w:hAnsi="Roboto"/>
          <w:color w:val="1f1f1f"/>
          <w:sz w:val="24"/>
          <w:szCs w:val="24"/>
        </w:rPr>
      </w:pPr>
      <w:r w:rsidDel="00000000" w:rsidR="00000000" w:rsidRPr="00000000">
        <w:rPr>
          <w:rFonts w:ascii="Times New Roman" w:cs="Times New Roman" w:eastAsia="Times New Roman" w:hAnsi="Times New Roman"/>
          <w:b w:val="1"/>
          <w:color w:val="1f1f1f"/>
          <w:sz w:val="24"/>
          <w:szCs w:val="24"/>
          <w:rtl w:val="0"/>
        </w:rPr>
        <w:t xml:space="preserve">Configurable/Modular</w:t>
      </w:r>
      <w:r w:rsidDel="00000000" w:rsidR="00000000" w:rsidRPr="00000000">
        <w:rPr>
          <w:rFonts w:ascii="Times New Roman" w:cs="Times New Roman" w:eastAsia="Times New Roman" w:hAnsi="Times New Roman"/>
          <w:color w:val="1f1f1f"/>
          <w:sz w:val="24"/>
          <w:szCs w:val="24"/>
          <w:rtl w:val="0"/>
        </w:rPr>
        <w:t xml:space="preserve">: The system shall be configurable for NICU devices connections, database integrations AI Module integrations and processing configurations.</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2.3 User Characteristics</w:t>
      </w:r>
    </w:p>
    <w:p w:rsidR="00000000" w:rsidDel="00000000" w:rsidP="00000000" w:rsidRDefault="00000000" w:rsidRPr="00000000" w14:paraId="0000007E">
      <w:pPr>
        <w:numPr>
          <w:ilvl w:val="0"/>
          <w:numId w:val="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Clinic IT</w:t>
      </w:r>
      <w:r w:rsidDel="00000000" w:rsidR="00000000" w:rsidRPr="00000000">
        <w:rPr>
          <w:rFonts w:ascii="Times New Roman" w:cs="Times New Roman" w:eastAsia="Times New Roman" w:hAnsi="Times New Roman"/>
          <w:sz w:val="24"/>
          <w:szCs w:val="24"/>
          <w:rtl w:val="0"/>
        </w:rPr>
        <w:t xml:space="preserve">:  Authenticate user, configure device and database connections.</w:t>
      </w:r>
    </w:p>
    <w:p w:rsidR="00000000" w:rsidDel="00000000" w:rsidP="00000000" w:rsidRDefault="00000000" w:rsidRPr="00000000" w14:paraId="0000007F">
      <w:pPr>
        <w:numPr>
          <w:ilvl w:val="0"/>
          <w:numId w:val="8"/>
        </w:numPr>
        <w:spacing w:after="0" w:afterAutospacing="0"/>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AI/Data Engineer: </w:t>
      </w:r>
      <w:r w:rsidDel="00000000" w:rsidR="00000000" w:rsidRPr="00000000">
        <w:rPr>
          <w:rFonts w:ascii="Times New Roman" w:cs="Times New Roman" w:eastAsia="Times New Roman" w:hAnsi="Times New Roman"/>
          <w:sz w:val="24"/>
          <w:szCs w:val="24"/>
          <w:rtl w:val="0"/>
        </w:rPr>
        <w:t xml:space="preserve">Standardize and process NICU input data. Store data set for ready to use in AI research. Store data in a way that is easy to debug. Configure preprocessing settings.</w:t>
      </w:r>
    </w:p>
    <w:p w:rsidR="00000000" w:rsidDel="00000000" w:rsidP="00000000" w:rsidRDefault="00000000" w:rsidRPr="00000000" w14:paraId="00000080">
      <w:pPr>
        <w:numPr>
          <w:ilvl w:val="0"/>
          <w:numId w:val="8"/>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NICU Clinician</w:t>
      </w:r>
      <w:r w:rsidDel="00000000" w:rsidR="00000000" w:rsidRPr="00000000">
        <w:rPr>
          <w:rFonts w:ascii="Times New Roman" w:cs="Times New Roman" w:eastAsia="Times New Roman" w:hAnsi="Times New Roman"/>
          <w:sz w:val="24"/>
          <w:szCs w:val="24"/>
          <w:rtl w:val="0"/>
        </w:rPr>
        <w:t xml:space="preserve">: Be able to monitor real time diagnosis from NICU devices.</w:t>
      </w:r>
    </w:p>
    <w:p w:rsidR="00000000" w:rsidDel="00000000" w:rsidP="00000000" w:rsidRDefault="00000000" w:rsidRPr="00000000" w14:paraId="00000081">
      <w:pPr>
        <w:numPr>
          <w:ilvl w:val="0"/>
          <w:numId w:val="8"/>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Clinic Owner: </w:t>
      </w:r>
      <w:r w:rsidDel="00000000" w:rsidR="00000000" w:rsidRPr="00000000">
        <w:rPr>
          <w:rFonts w:ascii="Times New Roman" w:cs="Times New Roman" w:eastAsia="Times New Roman" w:hAnsi="Times New Roman"/>
          <w:sz w:val="24"/>
          <w:szCs w:val="24"/>
          <w:rtl w:val="0"/>
        </w:rPr>
        <w:t xml:space="preserve">Wants to system appropriate to regulations.</w:t>
      </w:r>
    </w:p>
    <w:p w:rsidR="00000000" w:rsidDel="00000000" w:rsidP="00000000" w:rsidRDefault="00000000" w:rsidRPr="00000000" w14:paraId="00000082">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4">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2.4 Constraints</w:t>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constraints are in general three different types. Security is about data security and user authentication. Scalability is about limitations of device/AI module integrations. Lastly performance is about time limits of a series of operations.</w:t>
      </w:r>
    </w:p>
    <w:p w:rsidR="00000000" w:rsidDel="00000000" w:rsidP="00000000" w:rsidRDefault="00000000" w:rsidRPr="00000000" w14:paraId="00000087">
      <w:pPr>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0000ee"/>
            <w:u w:val="single"/>
            <w:rtl w:val="0"/>
          </w:rPr>
          <w:t xml:space="preserve">Universal_SW_Constraint_Tracking_Form.docx</w:t>
        </w:r>
      </w:hyperlink>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Legal constraints are about privacy of patient health and personal data. In general the system should be compliant with regulations.</w:t>
      </w:r>
    </w:p>
    <w:p w:rsidR="00000000" w:rsidDel="00000000" w:rsidP="00000000" w:rsidRDefault="00000000" w:rsidRPr="00000000" w14:paraId="0000008A">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0000ee"/>
            <w:sz w:val="24"/>
            <w:szCs w:val="24"/>
            <w:u w:val="single"/>
            <w:rtl w:val="0"/>
          </w:rPr>
          <w:t xml:space="preserve">Cross-discipline constraint tracking form.docx</w:t>
        </w:r>
      </w:hyperlink>
      <w:r w:rsidDel="00000000" w:rsidR="00000000" w:rsidRPr="00000000">
        <w:rPr>
          <w:rtl w:val="0"/>
        </w:rPr>
      </w:r>
    </w:p>
    <w:p w:rsidR="00000000" w:rsidDel="00000000" w:rsidP="00000000" w:rsidRDefault="00000000" w:rsidRPr="00000000" w14:paraId="0000008B">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2.5 Assumptions and Dependencies</w:t>
      </w:r>
    </w:p>
    <w:p w:rsidR="00000000" w:rsidDel="00000000" w:rsidP="00000000" w:rsidRDefault="00000000" w:rsidRPr="00000000" w14:paraId="0000008C">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Data transfer will be done in ethernet with TCP protocol.</w:t>
      </w:r>
    </w:p>
    <w:p w:rsidR="00000000" w:rsidDel="00000000" w:rsidP="00000000" w:rsidRDefault="00000000" w:rsidRPr="00000000" w14:paraId="0000008D">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user interface will be on a local website.</w:t>
      </w:r>
    </w:p>
    <w:p w:rsidR="00000000" w:rsidDel="00000000" w:rsidP="00000000" w:rsidRDefault="00000000" w:rsidRPr="00000000" w14:paraId="0000008E">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operating system will be Windows 10/11. </w:t>
      </w:r>
    </w:p>
    <w:p w:rsidR="00000000" w:rsidDel="00000000" w:rsidP="00000000" w:rsidRDefault="00000000" w:rsidRPr="00000000" w14:paraId="0000008F">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depend on a continuous NICU data stream. </w:t>
      </w:r>
      <w:r w:rsidDel="00000000" w:rsidR="00000000" w:rsidRPr="00000000">
        <w:rPr>
          <w:rtl w:val="0"/>
        </w:rPr>
      </w:r>
    </w:p>
    <w:p w:rsidR="00000000" w:rsidDel="00000000" w:rsidP="00000000" w:rsidRDefault="00000000" w:rsidRPr="00000000" w14:paraId="00000090">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 Specific Requirements</w:t>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3.1 Functional Requirements</w:t>
      </w:r>
    </w:p>
    <w:p w:rsidR="00000000" w:rsidDel="00000000" w:rsidP="00000000" w:rsidRDefault="00000000" w:rsidRPr="00000000" w14:paraId="00000094">
      <w:pPr>
        <w:widowControl w:val="0"/>
        <w:numPr>
          <w:ilvl w:val="0"/>
          <w:numId w:val="11"/>
        </w:numPr>
        <w:spacing w:after="0" w:afterAutospacing="0" w:before="20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take NICU data and as an output  clean, normalize, standardize it.</w:t>
      </w:r>
    </w:p>
    <w:p w:rsidR="00000000" w:rsidDel="00000000" w:rsidP="00000000" w:rsidRDefault="00000000" w:rsidRPr="00000000" w14:paraId="00000095">
      <w:pPr>
        <w:widowControl w:val="0"/>
        <w:numPr>
          <w:ilvl w:val="0"/>
          <w:numId w:val="11"/>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take in real time data streams from NICU devices in HL7-FHIR, DICOM format.</w:t>
      </w:r>
    </w:p>
    <w:p w:rsidR="00000000" w:rsidDel="00000000" w:rsidP="00000000" w:rsidRDefault="00000000" w:rsidRPr="00000000" w14:paraId="00000096">
      <w:pPr>
        <w:widowControl w:val="0"/>
        <w:numPr>
          <w:ilvl w:val="0"/>
          <w:numId w:val="11"/>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store output data as ready to use structured datasets in a given database with given settings for training/feeding AI models.</w:t>
      </w:r>
    </w:p>
    <w:p w:rsidR="00000000" w:rsidDel="00000000" w:rsidP="00000000" w:rsidRDefault="00000000" w:rsidRPr="00000000" w14:paraId="00000097">
      <w:pPr>
        <w:widowControl w:val="0"/>
        <w:numPr>
          <w:ilvl w:val="0"/>
          <w:numId w:val="11"/>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feed AI models with processed data.</w:t>
      </w:r>
    </w:p>
    <w:p w:rsidR="00000000" w:rsidDel="00000000" w:rsidP="00000000" w:rsidRDefault="00000000" w:rsidRPr="00000000" w14:paraId="00000098">
      <w:pPr>
        <w:widowControl w:val="0"/>
        <w:numPr>
          <w:ilvl w:val="0"/>
          <w:numId w:val="11"/>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take AI diagnostic engines results and display them</w:t>
      </w:r>
    </w:p>
    <w:p w:rsidR="00000000" w:rsidDel="00000000" w:rsidP="00000000" w:rsidRDefault="00000000" w:rsidRPr="00000000" w14:paraId="00000099">
      <w:pPr>
        <w:widowControl w:val="0"/>
        <w:numPr>
          <w:ilvl w:val="0"/>
          <w:numId w:val="11"/>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store immutable audit logs for data lineage and transformation in the database.</w:t>
      </w:r>
    </w:p>
    <w:p w:rsidR="00000000" w:rsidDel="00000000" w:rsidP="00000000" w:rsidRDefault="00000000" w:rsidRPr="00000000" w14:paraId="0000009A">
      <w:pPr>
        <w:widowControl w:val="0"/>
        <w:numPr>
          <w:ilvl w:val="0"/>
          <w:numId w:val="11"/>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store preprocessor settings changes in the database.</w:t>
      </w:r>
    </w:p>
    <w:p w:rsidR="00000000" w:rsidDel="00000000" w:rsidP="00000000" w:rsidRDefault="00000000" w:rsidRPr="00000000" w14:paraId="0000009B">
      <w:pPr>
        <w:widowControl w:val="0"/>
        <w:numPr>
          <w:ilvl w:val="0"/>
          <w:numId w:val="11"/>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make login to use itself  mandatory. </w:t>
      </w:r>
    </w:p>
    <w:p w:rsidR="00000000" w:rsidDel="00000000" w:rsidP="00000000" w:rsidRDefault="00000000" w:rsidRPr="00000000" w14:paraId="0000009C">
      <w:pPr>
        <w:widowControl w:val="0"/>
        <w:numPr>
          <w:ilvl w:val="0"/>
          <w:numId w:val="11"/>
        </w:numPr>
        <w:spacing w:after="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define different usage permissions for different users.</w:t>
      </w:r>
      <w:r w:rsidDel="00000000" w:rsidR="00000000" w:rsidRPr="00000000">
        <w:rPr>
          <w:rFonts w:ascii="Times New Roman" w:cs="Times New Roman" w:eastAsia="Times New Roman" w:hAnsi="Times New Roman"/>
          <w:color w:val="666666"/>
          <w:sz w:val="24"/>
          <w:szCs w:val="24"/>
          <w:rtl w:val="0"/>
        </w:rPr>
        <w:t xml:space="preserve">   </w:t>
      </w:r>
    </w:p>
    <w:p w:rsidR="00000000" w:rsidDel="00000000" w:rsidP="00000000" w:rsidRDefault="00000000" w:rsidRPr="00000000" w14:paraId="0000009D">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3.2 External Interface Requirements</w:t>
      </w:r>
    </w:p>
    <w:p w:rsidR="00000000" w:rsidDel="00000000" w:rsidP="00000000" w:rsidRDefault="00000000" w:rsidRPr="00000000" w14:paraId="000000A0">
      <w:pPr>
        <w:rPr>
          <w:rFonts w:ascii="Times New Roman" w:cs="Times New Roman" w:eastAsia="Times New Roman" w:hAnsi="Times New Roman"/>
          <w:color w:val="1f1f1f"/>
          <w:sz w:val="24"/>
          <w:szCs w:val="24"/>
          <w:highlight w:val="white"/>
        </w:rPr>
      </w:pPr>
      <w:r w:rsidDel="00000000" w:rsidR="00000000" w:rsidRPr="00000000">
        <w:rPr>
          <w:rFonts w:ascii="Times New Roman" w:cs="Times New Roman" w:eastAsia="Times New Roman" w:hAnsi="Times New Roman"/>
          <w:color w:val="1f1f1f"/>
          <w:sz w:val="24"/>
          <w:szCs w:val="24"/>
          <w:highlight w:val="white"/>
          <w:rtl w:val="0"/>
        </w:rPr>
        <w:t xml:space="preserve">The system shall interact with several external interfaces to fulfill its functions:</w:t>
      </w:r>
    </w:p>
    <w:p w:rsidR="00000000" w:rsidDel="00000000" w:rsidP="00000000" w:rsidRDefault="00000000" w:rsidRPr="00000000" w14:paraId="000000A1">
      <w:pPr>
        <w:numPr>
          <w:ilvl w:val="0"/>
          <w:numId w:val="9"/>
        </w:numPr>
        <w:shd w:fill="ffffff" w:val="clea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1f1f1f"/>
          <w:sz w:val="24"/>
          <w:szCs w:val="24"/>
          <w:rtl w:val="0"/>
        </w:rPr>
        <w:t xml:space="preserve">User Interfaces:</w:t>
      </w:r>
    </w:p>
    <w:p w:rsidR="00000000" w:rsidDel="00000000" w:rsidP="00000000" w:rsidRDefault="00000000" w:rsidRPr="00000000" w14:paraId="000000A2">
      <w:pPr>
        <w:numPr>
          <w:ilvl w:val="1"/>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Clinic IT:</w:t>
      </w:r>
      <w:r w:rsidDel="00000000" w:rsidR="00000000" w:rsidRPr="00000000">
        <w:rPr>
          <w:rFonts w:ascii="Times New Roman" w:cs="Times New Roman" w:eastAsia="Times New Roman" w:hAnsi="Times New Roman"/>
          <w:color w:val="1f1f1f"/>
          <w:sz w:val="24"/>
          <w:szCs w:val="24"/>
          <w:rtl w:val="0"/>
        </w:rPr>
        <w:t xml:space="preserve"> Will interact with a local website interface to authenticate users, configure NICU device connections, and manage database integrations.</w:t>
      </w:r>
    </w:p>
    <w:p w:rsidR="00000000" w:rsidDel="00000000" w:rsidP="00000000" w:rsidRDefault="00000000" w:rsidRPr="00000000" w14:paraId="000000A3">
      <w:pPr>
        <w:numPr>
          <w:ilvl w:val="1"/>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AI/Data Engineer:</w:t>
      </w:r>
      <w:r w:rsidDel="00000000" w:rsidR="00000000" w:rsidRPr="00000000">
        <w:rPr>
          <w:rFonts w:ascii="Times New Roman" w:cs="Times New Roman" w:eastAsia="Times New Roman" w:hAnsi="Times New Roman"/>
          <w:color w:val="1f1f1f"/>
          <w:sz w:val="24"/>
          <w:szCs w:val="24"/>
          <w:rtl w:val="0"/>
        </w:rPr>
        <w:t xml:space="preserve"> Will utilize the local website interface to configure preprocessing settings, monitor data standardization and quality control processes, and manage the storage of structured datasets for AI research and debugging.</w:t>
      </w:r>
    </w:p>
    <w:p w:rsidR="00000000" w:rsidDel="00000000" w:rsidP="00000000" w:rsidRDefault="00000000" w:rsidRPr="00000000" w14:paraId="000000A4">
      <w:pPr>
        <w:numPr>
          <w:ilvl w:val="1"/>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NICU Clinician:</w:t>
      </w:r>
      <w:r w:rsidDel="00000000" w:rsidR="00000000" w:rsidRPr="00000000">
        <w:rPr>
          <w:rFonts w:ascii="Times New Roman" w:cs="Times New Roman" w:eastAsia="Times New Roman" w:hAnsi="Times New Roman"/>
          <w:color w:val="1f1f1f"/>
          <w:sz w:val="24"/>
          <w:szCs w:val="24"/>
          <w:rtl w:val="0"/>
        </w:rPr>
        <w:t xml:space="preserve"> Will access the local website interface to monitor real-time AI diagnoses from NICU devices.</w:t>
      </w:r>
    </w:p>
    <w:p w:rsidR="00000000" w:rsidDel="00000000" w:rsidP="00000000" w:rsidRDefault="00000000" w:rsidRPr="00000000" w14:paraId="000000A5">
      <w:pPr>
        <w:numPr>
          <w:ilvl w:val="0"/>
          <w:numId w:val="9"/>
        </w:numPr>
        <w:shd w:fill="ffffff" w:val="clea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1f1f1f"/>
          <w:sz w:val="24"/>
          <w:szCs w:val="24"/>
          <w:rtl w:val="0"/>
        </w:rPr>
        <w:t xml:space="preserve">Hardware Interfaces:</w:t>
      </w:r>
    </w:p>
    <w:p w:rsidR="00000000" w:rsidDel="00000000" w:rsidP="00000000" w:rsidRDefault="00000000" w:rsidRPr="00000000" w14:paraId="000000A6">
      <w:pPr>
        <w:numPr>
          <w:ilvl w:val="1"/>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color w:val="1f1f1f"/>
          <w:sz w:val="24"/>
          <w:szCs w:val="24"/>
          <w:rtl w:val="0"/>
        </w:rPr>
        <w:t xml:space="preserve">The system will interface directly with various </w:t>
      </w:r>
      <w:r w:rsidDel="00000000" w:rsidR="00000000" w:rsidRPr="00000000">
        <w:rPr>
          <w:rFonts w:ascii="Times New Roman" w:cs="Times New Roman" w:eastAsia="Times New Roman" w:hAnsi="Times New Roman"/>
          <w:b w:val="1"/>
          <w:color w:val="1f1f1f"/>
          <w:sz w:val="24"/>
          <w:szCs w:val="24"/>
          <w:rtl w:val="0"/>
        </w:rPr>
        <w:t xml:space="preserve">NICU devices</w:t>
      </w:r>
      <w:r w:rsidDel="00000000" w:rsidR="00000000" w:rsidRPr="00000000">
        <w:rPr>
          <w:rFonts w:ascii="Times New Roman" w:cs="Times New Roman" w:eastAsia="Times New Roman" w:hAnsi="Times New Roman"/>
          <w:color w:val="1f1f1f"/>
          <w:sz w:val="24"/>
          <w:szCs w:val="24"/>
          <w:rtl w:val="0"/>
        </w:rPr>
        <w:t xml:space="preserve"> to receive real-time sensor data. This data transfer is assumed to occur over Ethernet using the TCP protocol.</w:t>
      </w:r>
    </w:p>
    <w:p w:rsidR="00000000" w:rsidDel="00000000" w:rsidP="00000000" w:rsidRDefault="00000000" w:rsidRPr="00000000" w14:paraId="000000A7">
      <w:pPr>
        <w:numPr>
          <w:ilvl w:val="0"/>
          <w:numId w:val="9"/>
        </w:numPr>
        <w:shd w:fill="ffffff" w:val="clea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1f1f1f"/>
          <w:sz w:val="24"/>
          <w:szCs w:val="24"/>
          <w:rtl w:val="0"/>
        </w:rPr>
        <w:t xml:space="preserve">Software Interfaces:</w:t>
      </w:r>
    </w:p>
    <w:p w:rsidR="00000000" w:rsidDel="00000000" w:rsidP="00000000" w:rsidRDefault="00000000" w:rsidRPr="00000000" w14:paraId="000000A8">
      <w:pPr>
        <w:numPr>
          <w:ilvl w:val="1"/>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Databases:</w:t>
      </w:r>
      <w:r w:rsidDel="00000000" w:rsidR="00000000" w:rsidRPr="00000000">
        <w:rPr>
          <w:rFonts w:ascii="Times New Roman" w:cs="Times New Roman" w:eastAsia="Times New Roman" w:hAnsi="Times New Roman"/>
          <w:color w:val="1f1f1f"/>
          <w:sz w:val="24"/>
          <w:szCs w:val="24"/>
          <w:rtl w:val="0"/>
        </w:rPr>
        <w:t xml:space="preserve"> The system will interface with designated databases for secure storage of processed data, immutable audit logs for data lineage, and preprocessor settings changes.</w:t>
      </w:r>
    </w:p>
    <w:p w:rsidR="00000000" w:rsidDel="00000000" w:rsidP="00000000" w:rsidRDefault="00000000" w:rsidRPr="00000000" w14:paraId="000000A9">
      <w:pPr>
        <w:numPr>
          <w:ilvl w:val="1"/>
          <w:numId w:val="9"/>
        </w:numPr>
        <w:spacing w:after="0" w:afterAutospacing="0" w:before="0" w:beforeAutospacing="0" w:lineRule="auto"/>
        <w:ind w:left="144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AI Modules:</w:t>
      </w:r>
      <w:r w:rsidDel="00000000" w:rsidR="00000000" w:rsidRPr="00000000">
        <w:rPr>
          <w:rFonts w:ascii="Times New Roman" w:cs="Times New Roman" w:eastAsia="Times New Roman" w:hAnsi="Times New Roman"/>
          <w:color w:val="1f1f1f"/>
          <w:sz w:val="24"/>
          <w:szCs w:val="24"/>
          <w:rtl w:val="0"/>
        </w:rPr>
        <w:t xml:space="preserve"> The system will feed processed data to AI diagnosis modules and receive diagnostic results from them for real-time display.</w:t>
      </w:r>
    </w:p>
    <w:p w:rsidR="00000000" w:rsidDel="00000000" w:rsidP="00000000" w:rsidRDefault="00000000" w:rsidRPr="00000000" w14:paraId="000000AA">
      <w:pPr>
        <w:numPr>
          <w:ilvl w:val="1"/>
          <w:numId w:val="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The system will adhere to HL7 and DICOM standards for data standardization and communication with other healthcare software applications.</w:t>
      </w:r>
    </w:p>
    <w:p w:rsidR="00000000" w:rsidDel="00000000" w:rsidP="00000000" w:rsidRDefault="00000000" w:rsidRPr="00000000" w14:paraId="000000AB">
      <w:pPr>
        <w:numPr>
          <w:ilvl w:val="1"/>
          <w:numId w:val="9"/>
        </w:numPr>
        <w:spacing w:after="12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Compliance with GDPR General Data Protection Regulation will be maintained for all data handling and storage to ensure patient data privacy.</w:t>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3.3 Performance Requirements</w:t>
      </w:r>
    </w:p>
    <w:p w:rsidR="00000000" w:rsidDel="00000000" w:rsidP="00000000" w:rsidRDefault="00000000" w:rsidRPr="00000000" w14:paraId="000000AF">
      <w:pPr>
        <w:widowControl w:val="0"/>
        <w:numPr>
          <w:ilvl w:val="0"/>
          <w:numId w:val="2"/>
        </w:numPr>
        <w:spacing w:after="0" w:afterAutospacing="0" w:before="24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be capable of scaling to handle simultaneous data streams from multiple NICU devices(up to 20), and feed the AI engine in less than 50ms after data arrive.</w:t>
      </w:r>
    </w:p>
    <w:p w:rsidR="00000000" w:rsidDel="00000000" w:rsidP="00000000" w:rsidRDefault="00000000" w:rsidRPr="00000000" w14:paraId="000000B0">
      <w:pPr>
        <w:widowControl w:val="0"/>
        <w:numPr>
          <w:ilvl w:val="0"/>
          <w:numId w:val="2"/>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shall display AI diagnostic engines results in less than 10ms.</w:t>
      </w:r>
    </w:p>
    <w:p w:rsidR="00000000" w:rsidDel="00000000" w:rsidP="00000000" w:rsidRDefault="00000000" w:rsidRPr="00000000" w14:paraId="000000B1">
      <w:pPr>
        <w:widowControl w:val="0"/>
        <w:numPr>
          <w:ilvl w:val="0"/>
          <w:numId w:val="2"/>
        </w:numPr>
        <w:spacing w:after="24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record must be in 5s.</w:t>
      </w: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3.4 Design Constraints</w:t>
      </w:r>
    </w:p>
    <w:p w:rsidR="00000000" w:rsidDel="00000000" w:rsidP="00000000" w:rsidRDefault="00000000" w:rsidRPr="00000000" w14:paraId="000000B4">
      <w:pPr>
        <w:numPr>
          <w:ilvl w:val="0"/>
          <w:numId w:val="10"/>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use PostgreSQL as database system.</w:t>
      </w:r>
    </w:p>
    <w:p w:rsidR="00000000" w:rsidDel="00000000" w:rsidP="00000000" w:rsidRDefault="00000000" w:rsidRPr="00000000" w14:paraId="000000B5">
      <w:pPr>
        <w:numPr>
          <w:ilvl w:val="0"/>
          <w:numId w:val="10"/>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will be in Python language.</w:t>
      </w:r>
    </w:p>
    <w:p w:rsidR="00000000" w:rsidDel="00000000" w:rsidP="00000000" w:rsidRDefault="00000000" w:rsidRPr="00000000" w14:paraId="000000B6">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transfers and transformations will be in HL7/DICOM standards.</w:t>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3.5 Software System Attributes</w:t>
      </w:r>
    </w:p>
    <w:p w:rsidR="00000000" w:rsidDel="00000000" w:rsidP="00000000" w:rsidRDefault="00000000" w:rsidRPr="00000000" w14:paraId="000000B9">
      <w:pPr>
        <w:numPr>
          <w:ilvl w:val="0"/>
          <w:numId w:val="4"/>
        </w:numPr>
        <w:shd w:fill="ffffff" w:val="clea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Reliability:</w:t>
      </w:r>
      <w:r w:rsidDel="00000000" w:rsidR="00000000" w:rsidRPr="00000000">
        <w:rPr>
          <w:rFonts w:ascii="Times New Roman" w:cs="Times New Roman" w:eastAsia="Times New Roman" w:hAnsi="Times New Roman"/>
          <w:color w:val="1f1f1f"/>
          <w:sz w:val="24"/>
          <w:szCs w:val="24"/>
          <w:rtl w:val="0"/>
        </w:rPr>
        <w:t xml:space="preserve"> The system shall operate consistently and without failure for extended periods, especially given its critical role in a Neonatal Intensive Care Unit (NICU) environment. This includes aspects like maturity, availability, fault tolerance, and recoverability. Data integrity and continuous operation are paramount for real-time data processing and AI diagnosis display.</w:t>
      </w:r>
    </w:p>
    <w:p w:rsidR="00000000" w:rsidDel="00000000" w:rsidP="00000000" w:rsidRDefault="00000000" w:rsidRPr="00000000" w14:paraId="000000BA">
      <w:pPr>
        <w:numPr>
          <w:ilvl w:val="0"/>
          <w:numId w:val="4"/>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Security:</w:t>
      </w:r>
      <w:r w:rsidDel="00000000" w:rsidR="00000000" w:rsidRPr="00000000">
        <w:rPr>
          <w:rFonts w:ascii="Times New Roman" w:cs="Times New Roman" w:eastAsia="Times New Roman" w:hAnsi="Times New Roman"/>
          <w:color w:val="1f1f1f"/>
          <w:sz w:val="24"/>
          <w:szCs w:val="24"/>
          <w:rtl w:val="0"/>
        </w:rPr>
        <w:t xml:space="preserve"> The system shall rigorously protect sensitive patient health and personal data from unauthorized access, modification, or disclosure, in full compliance with GDPR. This encompasses confidentiality, integrity, non-repudiation, accountability, and authenticity. Robust authentication mechanisms, as specified in section 3.4, and data encryption during transfer and storage are essential.</w:t>
      </w:r>
    </w:p>
    <w:p w:rsidR="00000000" w:rsidDel="00000000" w:rsidP="00000000" w:rsidRDefault="00000000" w:rsidRPr="00000000" w14:paraId="000000BB">
      <w:pPr>
        <w:numPr>
          <w:ilvl w:val="0"/>
          <w:numId w:val="4"/>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Performance Efficiency:</w:t>
      </w:r>
      <w:r w:rsidDel="00000000" w:rsidR="00000000" w:rsidRPr="00000000">
        <w:rPr>
          <w:rFonts w:ascii="Times New Roman" w:cs="Times New Roman" w:eastAsia="Times New Roman" w:hAnsi="Times New Roman"/>
          <w:color w:val="1f1f1f"/>
          <w:sz w:val="24"/>
          <w:szCs w:val="24"/>
          <w:rtl w:val="0"/>
        </w:rPr>
        <w:t xml:space="preserve"> The system shall process real-time sensor data from multiple NICU devices and feed the AI engine within specified timeframes and display AI diagnostic results. This includes sub-characteristics such as time behavior and resource utilization.</w:t>
      </w:r>
    </w:p>
    <w:p w:rsidR="00000000" w:rsidDel="00000000" w:rsidP="00000000" w:rsidRDefault="00000000" w:rsidRPr="00000000" w14:paraId="000000BC">
      <w:pPr>
        <w:numPr>
          <w:ilvl w:val="0"/>
          <w:numId w:val="4"/>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Usability:</w:t>
      </w:r>
      <w:r w:rsidDel="00000000" w:rsidR="00000000" w:rsidRPr="00000000">
        <w:rPr>
          <w:rFonts w:ascii="Times New Roman" w:cs="Times New Roman" w:eastAsia="Times New Roman" w:hAnsi="Times New Roman"/>
          <w:color w:val="1f1f1f"/>
          <w:sz w:val="24"/>
          <w:szCs w:val="24"/>
          <w:rtl w:val="0"/>
        </w:rPr>
        <w:t xml:space="preserve"> The system's local website interface shall be intuitive and easy for all defined user roles (Clinic IT, AI/Data Engineer, NICU Clinician) to learn and operate effectively. This includes aspects like learnability, operability, user error protection, and accessibility.</w:t>
      </w:r>
    </w:p>
    <w:p w:rsidR="00000000" w:rsidDel="00000000" w:rsidP="00000000" w:rsidRDefault="00000000" w:rsidRPr="00000000" w14:paraId="000000BD">
      <w:pPr>
        <w:numPr>
          <w:ilvl w:val="0"/>
          <w:numId w:val="4"/>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Maintainability:</w:t>
      </w:r>
      <w:r w:rsidDel="00000000" w:rsidR="00000000" w:rsidRPr="00000000">
        <w:rPr>
          <w:rFonts w:ascii="Times New Roman" w:cs="Times New Roman" w:eastAsia="Times New Roman" w:hAnsi="Times New Roman"/>
          <w:color w:val="1f1f1f"/>
          <w:sz w:val="24"/>
          <w:szCs w:val="24"/>
          <w:rtl w:val="0"/>
        </w:rPr>
        <w:t xml:space="preserve"> The system shall be designed for ease of modification, correction, and enhancement to adapt to evolving requirements and environmental changes. This includes modularity, reusability, analyzability, modifiability, and testability. The use of Python and PostgreSQL, as specified in design constraints, will contribute to this attribute.</w:t>
      </w:r>
    </w:p>
    <w:p w:rsidR="00000000" w:rsidDel="00000000" w:rsidP="00000000" w:rsidRDefault="00000000" w:rsidRPr="00000000" w14:paraId="000000BE">
      <w:pPr>
        <w:numPr>
          <w:ilvl w:val="0"/>
          <w:numId w:val="4"/>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Portability:</w:t>
      </w:r>
      <w:r w:rsidDel="00000000" w:rsidR="00000000" w:rsidRPr="00000000">
        <w:rPr>
          <w:rFonts w:ascii="Times New Roman" w:cs="Times New Roman" w:eastAsia="Times New Roman" w:hAnsi="Times New Roman"/>
          <w:color w:val="1f1f1f"/>
          <w:sz w:val="24"/>
          <w:szCs w:val="24"/>
          <w:rtl w:val="0"/>
        </w:rPr>
        <w:t xml:space="preserve"> The system shall be capable of being transferred and operated effectively across different environments, ensuring flexibility in deployment and future scalability. This includes adaptability, installability, and replaceability.</w:t>
      </w:r>
    </w:p>
    <w:p w:rsidR="00000000" w:rsidDel="00000000" w:rsidP="00000000" w:rsidRDefault="00000000" w:rsidRPr="00000000" w14:paraId="000000BF">
      <w:pPr>
        <w:numPr>
          <w:ilvl w:val="0"/>
          <w:numId w:val="4"/>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Functional Suitability:</w:t>
      </w:r>
      <w:r w:rsidDel="00000000" w:rsidR="00000000" w:rsidRPr="00000000">
        <w:rPr>
          <w:rFonts w:ascii="Times New Roman" w:cs="Times New Roman" w:eastAsia="Times New Roman" w:hAnsi="Times New Roman"/>
          <w:color w:val="1f1f1f"/>
          <w:sz w:val="24"/>
          <w:szCs w:val="24"/>
          <w:rtl w:val="0"/>
        </w:rPr>
        <w:t xml:space="preserve"> The system shall accurately and completely meet all specified functional requirements, ensuring that it performs all necessary tasks for data preprocessing, ingestion, storage, and display of AI diagnoses.</w:t>
      </w:r>
    </w:p>
    <w:p w:rsidR="00000000" w:rsidDel="00000000" w:rsidP="00000000" w:rsidRDefault="00000000" w:rsidRPr="00000000" w14:paraId="000000C0">
      <w:pPr>
        <w:numPr>
          <w:ilvl w:val="0"/>
          <w:numId w:val="4"/>
        </w:numPr>
        <w:shd w:fill="ffffff" w:val="clear"/>
        <w:spacing w:after="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Compatibility:</w:t>
      </w:r>
      <w:r w:rsidDel="00000000" w:rsidR="00000000" w:rsidRPr="00000000">
        <w:rPr>
          <w:rFonts w:ascii="Times New Roman" w:cs="Times New Roman" w:eastAsia="Times New Roman" w:hAnsi="Times New Roman"/>
          <w:color w:val="1f1f1f"/>
          <w:sz w:val="24"/>
          <w:szCs w:val="24"/>
          <w:rtl w:val="0"/>
        </w:rPr>
        <w:t xml:space="preserve"> The system shall effectively coexist and interact with other independent systems, specifically NICU devices, databases, and AI modules, adhering to standards like HL7 and DICOM for seamless interoperability</w:t>
      </w:r>
    </w:p>
    <w:p w:rsidR="00000000" w:rsidDel="00000000" w:rsidP="00000000" w:rsidRDefault="00000000" w:rsidRPr="00000000" w14:paraId="000000C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2">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3.6 Other Requirements</w:t>
      </w: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 Appendices</w:t>
      </w:r>
    </w:p>
    <w:p w:rsidR="00000000" w:rsidDel="00000000" w:rsidP="00000000" w:rsidRDefault="00000000" w:rsidRPr="00000000" w14:paraId="000000C5">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Requirements and ID’s can be found on : </w:t>
      </w:r>
      <w:hyperlink r:id="rId10">
        <w:r w:rsidDel="00000000" w:rsidR="00000000" w:rsidRPr="00000000">
          <w:rPr>
            <w:rFonts w:ascii="Times New Roman" w:cs="Times New Roman" w:eastAsia="Times New Roman" w:hAnsi="Times New Roman"/>
            <w:color w:val="0000ee"/>
            <w:sz w:val="24"/>
            <w:szCs w:val="24"/>
            <w:u w:val="single"/>
            <w:rtl w:val="0"/>
          </w:rPr>
          <w:t xml:space="preserve">Requirements</w:t>
        </w:r>
      </w:hyperlink>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C7">
      <w:pPr>
        <w:pStyle w:val="Heading2"/>
        <w:rPr>
          <w:rFonts w:ascii="Times New Roman" w:cs="Times New Roman" w:eastAsia="Times New Roman" w:hAnsi="Times New Roman"/>
          <w:color w:val="000000"/>
          <w:sz w:val="24"/>
          <w:szCs w:val="24"/>
        </w:rPr>
      </w:pPr>
      <w:bookmarkStart w:colFirst="0" w:colLast="0" w:name="_heading=h.a6qvajnlk889" w:id="2"/>
      <w:bookmarkEnd w:id="2"/>
      <w:r w:rsidDel="00000000" w:rsidR="00000000" w:rsidRPr="00000000">
        <w:rPr>
          <w:rFonts w:ascii="Times New Roman" w:cs="Times New Roman" w:eastAsia="Times New Roman" w:hAnsi="Times New Roman"/>
          <w:color w:val="000000"/>
          <w:sz w:val="24"/>
          <w:szCs w:val="24"/>
          <w:rtl w:val="0"/>
        </w:rPr>
        <w:t xml:space="preserve">5. References</w:t>
      </w:r>
    </w:p>
    <w:p w:rsidR="00000000" w:rsidDel="00000000" w:rsidP="00000000" w:rsidRDefault="00000000" w:rsidRPr="00000000" w14:paraId="000000C8">
      <w:pPr>
        <w:numPr>
          <w:ilvl w:val="0"/>
          <w:numId w:val="6"/>
        </w:numPr>
        <w:shd w:fill="ffffff" w:val="clea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IEEE 830-1998</w:t>
      </w:r>
      <w:r w:rsidDel="00000000" w:rsidR="00000000" w:rsidRPr="00000000">
        <w:rPr>
          <w:rtl w:val="0"/>
        </w:rPr>
      </w:r>
    </w:p>
    <w:p w:rsidR="00000000" w:rsidDel="00000000" w:rsidP="00000000" w:rsidRDefault="00000000" w:rsidRPr="00000000" w14:paraId="000000C9">
      <w:pPr>
        <w:numPr>
          <w:ilvl w:val="0"/>
          <w:numId w:val="6"/>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ISO/IEC/IEEE 29148:2018</w:t>
      </w:r>
      <w:r w:rsidDel="00000000" w:rsidR="00000000" w:rsidRPr="00000000">
        <w:rPr>
          <w:rtl w:val="0"/>
        </w:rPr>
      </w:r>
    </w:p>
    <w:p w:rsidR="00000000" w:rsidDel="00000000" w:rsidP="00000000" w:rsidRDefault="00000000" w:rsidRPr="00000000" w14:paraId="000000CA">
      <w:pPr>
        <w:numPr>
          <w:ilvl w:val="0"/>
          <w:numId w:val="6"/>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ISO/IEC 25010:2011</w:t>
      </w:r>
      <w:r w:rsidDel="00000000" w:rsidR="00000000" w:rsidRPr="00000000">
        <w:rPr>
          <w:rtl w:val="0"/>
        </w:rPr>
      </w:r>
    </w:p>
    <w:p w:rsidR="00000000" w:rsidDel="00000000" w:rsidP="00000000" w:rsidRDefault="00000000" w:rsidRPr="00000000" w14:paraId="000000CB">
      <w:pPr>
        <w:numPr>
          <w:ilvl w:val="0"/>
          <w:numId w:val="6"/>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IEEE 15288</w:t>
      </w:r>
      <w:r w:rsidDel="00000000" w:rsidR="00000000" w:rsidRPr="00000000">
        <w:rPr>
          <w:rtl w:val="0"/>
        </w:rPr>
      </w:r>
    </w:p>
    <w:p w:rsidR="00000000" w:rsidDel="00000000" w:rsidP="00000000" w:rsidRDefault="00000000" w:rsidRPr="00000000" w14:paraId="000000CC">
      <w:pPr>
        <w:numPr>
          <w:ilvl w:val="0"/>
          <w:numId w:val="6"/>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IEEE 12207</w:t>
      </w:r>
      <w:r w:rsidDel="00000000" w:rsidR="00000000" w:rsidRPr="00000000">
        <w:rPr>
          <w:rFonts w:ascii="Times New Roman" w:cs="Times New Roman" w:eastAsia="Times New Roman" w:hAnsi="Times New Roman"/>
          <w:color w:val="1f1f1f"/>
          <w:sz w:val="24"/>
          <w:szCs w:val="24"/>
          <w:rtl w:val="0"/>
        </w:rPr>
        <w:t xml:space="preserve"> </w:t>
      </w:r>
    </w:p>
    <w:p w:rsidR="00000000" w:rsidDel="00000000" w:rsidP="00000000" w:rsidRDefault="00000000" w:rsidRPr="00000000" w14:paraId="000000CD">
      <w:pPr>
        <w:numPr>
          <w:ilvl w:val="0"/>
          <w:numId w:val="6"/>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INCOSE SE Handbook v5</w:t>
      </w:r>
      <w:r w:rsidDel="00000000" w:rsidR="00000000" w:rsidRPr="00000000">
        <w:rPr>
          <w:rtl w:val="0"/>
        </w:rPr>
      </w:r>
    </w:p>
    <w:p w:rsidR="00000000" w:rsidDel="00000000" w:rsidP="00000000" w:rsidRDefault="00000000" w:rsidRPr="00000000" w14:paraId="000000CE">
      <w:pPr>
        <w:numPr>
          <w:ilvl w:val="0"/>
          <w:numId w:val="6"/>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HL7 (Health Level Seven)</w:t>
      </w:r>
      <w:r w:rsidDel="00000000" w:rsidR="00000000" w:rsidRPr="00000000">
        <w:rPr>
          <w:rtl w:val="0"/>
        </w:rPr>
      </w:r>
    </w:p>
    <w:p w:rsidR="00000000" w:rsidDel="00000000" w:rsidP="00000000" w:rsidRDefault="00000000" w:rsidRPr="00000000" w14:paraId="000000CF">
      <w:pPr>
        <w:numPr>
          <w:ilvl w:val="0"/>
          <w:numId w:val="6"/>
        </w:numPr>
        <w:shd w:fill="ffffff" w:val="clea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DICOM (Digital Imaging and Communications in Medicine)</w:t>
      </w:r>
      <w:r w:rsidDel="00000000" w:rsidR="00000000" w:rsidRPr="00000000">
        <w:rPr>
          <w:rtl w:val="0"/>
        </w:rPr>
      </w:r>
    </w:p>
    <w:p w:rsidR="00000000" w:rsidDel="00000000" w:rsidP="00000000" w:rsidRDefault="00000000" w:rsidRPr="00000000" w14:paraId="000000D0">
      <w:pPr>
        <w:numPr>
          <w:ilvl w:val="0"/>
          <w:numId w:val="6"/>
        </w:numPr>
        <w:shd w:fill="ffffff" w:val="clear"/>
        <w:spacing w:after="0" w:before="0" w:beforeAutospacing="0" w:lineRule="auto"/>
        <w:ind w:left="720" w:hanging="360"/>
        <w:rPr>
          <w:sz w:val="24"/>
          <w:szCs w:val="24"/>
        </w:rPr>
      </w:pPr>
      <w:r w:rsidDel="00000000" w:rsidR="00000000" w:rsidRPr="00000000">
        <w:rPr>
          <w:rFonts w:ascii="Times New Roman" w:cs="Times New Roman" w:eastAsia="Times New Roman" w:hAnsi="Times New Roman"/>
          <w:b w:val="1"/>
          <w:color w:val="1f1f1f"/>
          <w:sz w:val="24"/>
          <w:szCs w:val="24"/>
          <w:rtl w:val="0"/>
        </w:rPr>
        <w:t xml:space="preserve">GDPR (General Data Protection Regulation)</w:t>
      </w:r>
      <w:r w:rsidDel="00000000" w:rsidR="00000000" w:rsidRPr="00000000">
        <w:rPr>
          <w:rtl w:val="0"/>
        </w:rPr>
      </w:r>
    </w:p>
    <w:p w:rsidR="00000000" w:rsidDel="00000000" w:rsidP="00000000" w:rsidRDefault="00000000" w:rsidRPr="00000000" w14:paraId="000000D1">
      <w:pPr>
        <w:widowControl w:val="1"/>
        <w:spacing w:after="200" w:before="0" w:line="276" w:lineRule="auto"/>
        <w:jc w:val="left"/>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800" w:right="18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rFonts w:ascii="Roboto" w:cs="Roboto" w:eastAsia="Roboto" w:hAnsi="Roboto"/>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Calibri" w:cs="" w:eastAsia="" w:hAnsi="Calibri"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Calibri" w:cs="" w:eastAsia="" w:hAnsi="Calibri"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HeaderChar" w:customStyle="1">
    <w:name w:val="Header Char"/>
    <w:basedOn w:val="DefaultParagraphFont"/>
    <w:link w:val="Header"/>
    <w:uiPriority w:val="99"/>
    <w:qFormat w:val="1"/>
    <w:rsid w:val="00E618BF"/>
    <w:rPr/>
  </w:style>
  <w:style w:type="character" w:styleId="FooterChar" w:customStyle="1">
    <w:name w:val="Footer Char"/>
    <w:basedOn w:val="DefaultParagraphFont"/>
    <w:link w:val="Footer"/>
    <w:uiPriority w:val="99"/>
    <w:qFormat w:val="1"/>
    <w:rsid w:val="00E618BF"/>
    <w:rPr/>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FC693F"/>
    <w:rPr>
      <w:rFonts w:ascii="Calibri" w:cs="" w:eastAsia="" w:hAnsi="Calibri"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qFormat w:val="1"/>
    <w:rsid w:val="00FC693F"/>
    <w:rPr>
      <w:rFonts w:ascii="Calibri" w:cs="" w:eastAsia="" w:hAnsi="Calibri"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qFormat w:val="1"/>
    <w:rsid w:val="00FC693F"/>
    <w:rPr>
      <w:rFonts w:ascii="Calibri" w:cs="" w:eastAsia="" w:hAnsi="Calibri"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qFormat w:val="1"/>
    <w:rsid w:val="00FC693F"/>
    <w:rPr>
      <w:rFonts w:ascii="Calibri" w:cs="" w:eastAsia="" w:hAnsi="Calibri" w:asciiTheme="majorHAnsi" w:cstheme="majorBidi" w:eastAsiaTheme="majorEastAsia" w:hAnsiTheme="majorHAnsi"/>
      <w:color w:val="17365d" w:themeColor="text2" w:themeShade="0000BF"/>
      <w:spacing w:val="5"/>
      <w:kern w:val="2"/>
      <w:sz w:val="52"/>
      <w:szCs w:val="52"/>
    </w:rPr>
  </w:style>
  <w:style w:type="character" w:styleId="SubtitleChar" w:customStyle="1">
    <w:name w:val="Subtitle Char"/>
    <w:basedOn w:val="DefaultParagraphFont"/>
    <w:link w:val="Subtitle"/>
    <w:uiPriority w:val="11"/>
    <w:qFormat w:val="1"/>
    <w:rsid w:val="00FC693F"/>
    <w:rPr>
      <w:rFonts w:ascii="Calibri" w:cs="" w:eastAsia="" w:hAnsi="Calibri" w:asciiTheme="majorHAnsi" w:cstheme="majorBidi" w:eastAsiaTheme="majorEastAsia" w:hAnsiTheme="majorHAnsi"/>
      <w:i w:val="1"/>
      <w:iCs w:val="1"/>
      <w:color w:val="4f81bd" w:themeColor="accent1"/>
      <w:spacing w:val="15"/>
      <w:sz w:val="24"/>
      <w:szCs w:val="24"/>
    </w:rPr>
  </w:style>
  <w:style w:type="character" w:styleId="BodyTextChar" w:customStyle="1">
    <w:name w:val="Body Text Char"/>
    <w:basedOn w:val="DefaultParagraphFont"/>
    <w:uiPriority w:val="99"/>
    <w:qFormat w:val="1"/>
    <w:rsid w:val="00AA1D8D"/>
    <w:rPr/>
  </w:style>
  <w:style w:type="character" w:styleId="BodyText2Char" w:customStyle="1">
    <w:name w:val="Body Text 2 Char"/>
    <w:basedOn w:val="DefaultParagraphFont"/>
    <w:link w:val="BodyText2"/>
    <w:uiPriority w:val="99"/>
    <w:qFormat w:val="1"/>
    <w:rsid w:val="00AA1D8D"/>
    <w:rPr/>
  </w:style>
  <w:style w:type="character" w:styleId="BodyText3Char" w:customStyle="1">
    <w:name w:val="Body Text 3 Char"/>
    <w:basedOn w:val="DefaultParagraphFont"/>
    <w:link w:val="BodyText3"/>
    <w:uiPriority w:val="99"/>
    <w:qFormat w:val="1"/>
    <w:rsid w:val="00AA1D8D"/>
    <w:rPr>
      <w:sz w:val="16"/>
      <w:szCs w:val="16"/>
    </w:rPr>
  </w:style>
  <w:style w:type="character" w:styleId="MacroTextChar" w:customStyle="1">
    <w:name w:val="Macro Text Char"/>
    <w:basedOn w:val="DefaultParagraphFont"/>
    <w:link w:val="Macro"/>
    <w:uiPriority w:val="99"/>
    <w:qFormat w:val="1"/>
    <w:rsid w:val="0029639D"/>
    <w:rPr>
      <w:rFonts w:ascii="Courier" w:hAnsi="Courier"/>
      <w:sz w:val="20"/>
      <w:szCs w:val="20"/>
    </w:rPr>
  </w:style>
  <w:style w:type="character" w:styleId="QuoteChar" w:customStyle="1">
    <w:name w:val="Quote Char"/>
    <w:basedOn w:val="DefaultParagraphFont"/>
    <w:link w:val="Quote"/>
    <w:uiPriority w:val="29"/>
    <w:qFormat w:val="1"/>
    <w:rsid w:val="00FC693F"/>
    <w:rPr>
      <w:i w:val="1"/>
      <w:iCs w:val="1"/>
      <w:color w:val="000000" w:themeColor="text1"/>
    </w:rPr>
  </w:style>
  <w:style w:type="character" w:styleId="Heading4Char" w:customStyle="1">
    <w:name w:val="Heading 4 Char"/>
    <w:basedOn w:val="DefaultParagraphFont"/>
    <w:link w:val="Heading4"/>
    <w:uiPriority w:val="9"/>
    <w:semiHidden w:val="1"/>
    <w:qFormat w:val="1"/>
    <w:rsid w:val="00FC693F"/>
    <w:rPr>
      <w:rFonts w:ascii="Calibri" w:cs="" w:eastAsia="" w:hAnsi="Calibri"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qFormat w:val="1"/>
    <w:rsid w:val="00FC693F"/>
    <w:rPr>
      <w:rFonts w:ascii="Calibri" w:cs="" w:eastAsia="" w:hAnsi="Calibri"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qFormat w:val="1"/>
    <w:rsid w:val="00FC693F"/>
    <w:rPr>
      <w:rFonts w:ascii="Calibri" w:cs="" w:eastAsia="" w:hAnsi="Calibri"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qFormat w:val="1"/>
    <w:rsid w:val="00FC693F"/>
    <w:rPr>
      <w:rFonts w:ascii="Calibri" w:cs="" w:eastAsia="" w:hAnsi="Calibri"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character" w:styleId="IntenseQuoteChar" w:customStyle="1">
    <w:name w:val="Intense Quote Char"/>
    <w:basedOn w:val="DefaultParagraphFont"/>
    <w:link w:val="IntenseQuote"/>
    <w:uiPriority w:val="30"/>
    <w:qFormat w:val="1"/>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character" w:styleId="Hyperlink">
    <w:name w:val="Hyperlink"/>
    <w:rPr>
      <w:color w:val="000080"/>
      <w:u w:val="single"/>
    </w:rPr>
  </w:style>
  <w:style w:type="paragraph" w:styleId="Heading">
    <w:name w:val="Heading"/>
    <w:basedOn w:val="Normal"/>
    <w:next w:val="BodyText"/>
    <w:qFormat w:val="1"/>
    <w:pPr>
      <w:keepNext w:val="1"/>
      <w:spacing w:after="120" w:before="240"/>
    </w:pPr>
    <w:rPr>
      <w:rFonts w:ascii="Liberation Sans" w:cs="Arial" w:eastAsia="Microsoft YaHei" w:hAnsi="Liberation Sans"/>
      <w:sz w:val="28"/>
      <w:szCs w:val="28"/>
    </w:rPr>
  </w:style>
  <w:style w:type="paragraph" w:styleId="BodyText">
    <w:name w:val="Body Text"/>
    <w:basedOn w:val="Normal"/>
    <w:link w:val="BodyTextChar"/>
    <w:uiPriority w:val="99"/>
    <w:unhideWhenUsed w:val="1"/>
    <w:rsid w:val="00AA1D8D"/>
    <w:pPr>
      <w:spacing w:after="120" w:before="0"/>
    </w:pPr>
    <w:rPr/>
  </w:style>
  <w:style w:type="paragraph" w:styleId="List">
    <w:name w:val="List"/>
    <w:basedOn w:val="Normal"/>
    <w:uiPriority w:val="99"/>
    <w:unhideWhenUsed w:val="1"/>
    <w:rsid w:val="00AA1D8D"/>
    <w:pPr>
      <w:spacing w:after="200" w:before="0"/>
      <w:ind w:left="360" w:hanging="360"/>
      <w:contextualSpacing w:val="1"/>
    </w:pPr>
    <w:rPr/>
  </w:style>
  <w:style w:type="paragraph" w:styleId="Caption">
    <w:name w:val="Caption"/>
    <w:basedOn w:val="Normal"/>
    <w:qFormat w:val="1"/>
    <w:pPr>
      <w:suppressLineNumbers w:val="1"/>
      <w:spacing w:after="120" w:before="120"/>
    </w:pPr>
    <w:rPr>
      <w:rFonts w:cs="Arial"/>
      <w:i w:val="1"/>
      <w:iCs w:val="1"/>
      <w:sz w:val="24"/>
      <w:szCs w:val="24"/>
    </w:rPr>
  </w:style>
  <w:style w:type="paragraph" w:styleId="Index">
    <w:name w:val="Index"/>
    <w:basedOn w:val="Normal"/>
    <w:qFormat w:val="1"/>
    <w:pPr>
      <w:suppressLineNumbers w:val="1"/>
    </w:pPr>
    <w:rPr>
      <w:rFonts w:cs="Arial"/>
    </w:rPr>
  </w:style>
  <w:style w:type="paragraph" w:styleId="HeaderandFooter">
    <w:name w:val="Header and Footer"/>
    <w:basedOn w:val="Normal"/>
    <w:qFormat w:val="1"/>
    <w:pPr/>
    <w:rPr/>
  </w:style>
  <w:style w:type="paragraph" w:styleId="Header">
    <w:name w:val="Header"/>
    <w:basedOn w:val="Normal"/>
    <w:link w:val="HeaderChar"/>
    <w:uiPriority w:val="99"/>
    <w:unhideWhenUsed w:val="1"/>
    <w:rsid w:val="00E618BF"/>
    <w:pPr>
      <w:tabs>
        <w:tab w:val="clear" w:pos="720"/>
        <w:tab w:val="center" w:leader="none" w:pos="4680"/>
        <w:tab w:val="right" w:leader="none" w:pos="9360"/>
      </w:tabs>
      <w:spacing w:after="0" w:before="0" w:line="240" w:lineRule="auto"/>
    </w:pPr>
    <w:rPr/>
  </w:style>
  <w:style w:type="paragraph" w:styleId="Footer">
    <w:name w:val="Footer"/>
    <w:basedOn w:val="Normal"/>
    <w:link w:val="FooterChar"/>
    <w:uiPriority w:val="99"/>
    <w:unhideWhenUsed w:val="1"/>
    <w:rsid w:val="00E618BF"/>
    <w:pPr>
      <w:tabs>
        <w:tab w:val="clear" w:pos="720"/>
        <w:tab w:val="center" w:leader="none" w:pos="4680"/>
        <w:tab w:val="right" w:leader="none" w:pos="9360"/>
      </w:tabs>
      <w:spacing w:after="0" w:before="0" w:line="240" w:lineRule="auto"/>
    </w:pPr>
    <w:rPr/>
  </w:style>
  <w:style w:type="paragraph" w:styleId="NoSpacing">
    <w:name w:val="No Spacing"/>
    <w:uiPriority w:val="1"/>
    <w:qFormat w:val="1"/>
    <w:rsid w:val="00FC693F"/>
    <w:pPr>
      <w:widowControl w:val="1"/>
      <w:suppressAutoHyphens w:val="1"/>
      <w:bidi w:val="0"/>
      <w:spacing w:after="0" w:before="0" w:line="240" w:lineRule="auto"/>
      <w:jc w:val="left"/>
    </w:pPr>
    <w:rPr>
      <w:rFonts w:ascii="Cambria" w:cs="" w:eastAsia="" w:hAnsi="Cambria" w:asciiTheme="minorHAnsi" w:cstheme="minorBidi" w:eastAsiaTheme="minorEastAsia" w:hAnsiTheme="minorHAnsi"/>
      <w:color w:val="auto"/>
      <w:kern w:val="0"/>
      <w:sz w:val="22"/>
      <w:szCs w:val="22"/>
      <w:lang w:bidi="ar-SA" w:eastAsia="en-US" w:val="en-US"/>
    </w:rPr>
  </w:style>
  <w:style w:type="paragraph" w:styleId="ListParagraph">
    <w:name w:val="List Paragraph"/>
    <w:basedOn w:val="Normal"/>
    <w:uiPriority w:val="34"/>
    <w:qFormat w:val="1"/>
    <w:rsid w:val="00FC693F"/>
    <w:pPr>
      <w:spacing w:after="200" w:before="0"/>
      <w:ind w:left="720"/>
      <w:contextualSpacing w:val="1"/>
    </w:pPr>
    <w:rPr/>
  </w:style>
  <w:style w:type="paragraph" w:styleId="BodyText2">
    <w:name w:val="Body Text 2"/>
    <w:basedOn w:val="Normal"/>
    <w:link w:val="BodyText2Char"/>
    <w:uiPriority w:val="99"/>
    <w:unhideWhenUsed w:val="1"/>
    <w:qFormat w:val="1"/>
    <w:rsid w:val="00AA1D8D"/>
    <w:pPr>
      <w:spacing w:after="120" w:before="0" w:line="480" w:lineRule="auto"/>
    </w:pPr>
    <w:rPr/>
  </w:style>
  <w:style w:type="paragraph" w:styleId="BodyText3">
    <w:name w:val="Body Text 3"/>
    <w:basedOn w:val="Normal"/>
    <w:link w:val="BodyText3Char"/>
    <w:uiPriority w:val="99"/>
    <w:unhideWhenUsed w:val="1"/>
    <w:qFormat w:val="1"/>
    <w:rsid w:val="00AA1D8D"/>
    <w:pPr>
      <w:spacing w:after="120" w:before="0"/>
    </w:pPr>
    <w:rPr>
      <w:sz w:val="16"/>
      <w:szCs w:val="16"/>
    </w:rPr>
  </w:style>
  <w:style w:type="paragraph" w:styleId="List2">
    <w:name w:val="List 2"/>
    <w:basedOn w:val="Normal"/>
    <w:uiPriority w:val="99"/>
    <w:unhideWhenUsed w:val="1"/>
    <w:qFormat w:val="1"/>
    <w:rsid w:val="00326F90"/>
    <w:pPr>
      <w:spacing w:after="200" w:before="0"/>
      <w:ind w:left="720" w:hanging="360"/>
      <w:contextualSpacing w:val="1"/>
    </w:pPr>
    <w:rPr/>
  </w:style>
  <w:style w:type="paragraph" w:styleId="List3">
    <w:name w:val="List 3"/>
    <w:basedOn w:val="Normal"/>
    <w:uiPriority w:val="99"/>
    <w:unhideWhenUsed w:val="1"/>
    <w:qFormat w:val="1"/>
    <w:rsid w:val="00326F90"/>
    <w:pPr>
      <w:spacing w:after="200" w:before="0"/>
      <w:ind w:left="1080" w:hanging="360"/>
      <w:contextualSpacing w:val="1"/>
    </w:pPr>
    <w:rPr/>
  </w:style>
  <w:style w:type="paragraph" w:styleId="ListBullet">
    <w:name w:val="List Bullet"/>
    <w:basedOn w:val="Normal"/>
    <w:uiPriority w:val="99"/>
    <w:unhideWhenUsed w:val="1"/>
    <w:rsid w:val="00326F90"/>
    <w:pPr>
      <w:numPr>
        <w:ilvl w:val="0"/>
        <w:numId w:val="1"/>
      </w:numPr>
      <w:spacing w:after="200" w:before="0"/>
      <w:contextualSpacing w:val="1"/>
    </w:pPr>
    <w:rPr/>
  </w:style>
  <w:style w:type="paragraph" w:styleId="ListBullet2">
    <w:name w:val="List Bullet 2"/>
    <w:basedOn w:val="Normal"/>
    <w:uiPriority w:val="99"/>
    <w:unhideWhenUsed w:val="1"/>
    <w:rsid w:val="00326F90"/>
    <w:pPr>
      <w:numPr>
        <w:ilvl w:val="0"/>
        <w:numId w:val="2"/>
      </w:numPr>
      <w:spacing w:after="200" w:before="0"/>
      <w:contextualSpacing w:val="1"/>
    </w:pPr>
    <w:rPr/>
  </w:style>
  <w:style w:type="paragraph" w:styleId="ListBullet3">
    <w:name w:val="List Bullet 3"/>
    <w:basedOn w:val="Normal"/>
    <w:uiPriority w:val="99"/>
    <w:unhideWhenUsed w:val="1"/>
    <w:rsid w:val="00326F90"/>
    <w:pPr>
      <w:numPr>
        <w:ilvl w:val="0"/>
        <w:numId w:val="3"/>
      </w:numPr>
      <w:spacing w:after="200" w:before="0"/>
      <w:contextualSpacing w:val="1"/>
    </w:pPr>
    <w:rPr/>
  </w:style>
  <w:style w:type="paragraph" w:styleId="ListNumber">
    <w:name w:val="List Number"/>
    <w:basedOn w:val="Normal"/>
    <w:uiPriority w:val="99"/>
    <w:unhideWhenUsed w:val="1"/>
    <w:rsid w:val="00326F90"/>
    <w:pPr>
      <w:numPr>
        <w:ilvl w:val="0"/>
        <w:numId w:val="4"/>
      </w:numPr>
      <w:spacing w:after="200" w:before="0"/>
      <w:contextualSpacing w:val="1"/>
    </w:pPr>
    <w:rPr/>
  </w:style>
  <w:style w:type="paragraph" w:styleId="ListNumber2">
    <w:name w:val="List Number 2"/>
    <w:basedOn w:val="Normal"/>
    <w:uiPriority w:val="99"/>
    <w:unhideWhenUsed w:val="1"/>
    <w:rsid w:val="0029639D"/>
    <w:pPr>
      <w:numPr>
        <w:ilvl w:val="0"/>
        <w:numId w:val="5"/>
      </w:numPr>
      <w:spacing w:after="200" w:before="0"/>
      <w:contextualSpacing w:val="1"/>
    </w:pPr>
    <w:rPr/>
  </w:style>
  <w:style w:type="paragraph" w:styleId="ListNumber3">
    <w:name w:val="List Number 3"/>
    <w:basedOn w:val="Normal"/>
    <w:uiPriority w:val="99"/>
    <w:unhideWhenUsed w:val="1"/>
    <w:rsid w:val="0029639D"/>
    <w:pPr>
      <w:numPr>
        <w:ilvl w:val="0"/>
        <w:numId w:val="6"/>
      </w:numPr>
      <w:spacing w:after="200" w:before="0"/>
      <w:contextualSpacing w:val="1"/>
    </w:pPr>
    <w:rPr/>
  </w:style>
  <w:style w:type="paragraph" w:styleId="ListContinue">
    <w:name w:val="List Continue"/>
    <w:basedOn w:val="Normal"/>
    <w:uiPriority w:val="99"/>
    <w:unhideWhenUsed w:val="1"/>
    <w:rsid w:val="0029639D"/>
    <w:pPr>
      <w:spacing w:after="120" w:before="0"/>
      <w:ind w:left="360"/>
      <w:contextualSpacing w:val="1"/>
    </w:pPr>
    <w:rPr/>
  </w:style>
  <w:style w:type="paragraph" w:styleId="ListContinue2">
    <w:name w:val="List Continue 2"/>
    <w:basedOn w:val="Normal"/>
    <w:uiPriority w:val="99"/>
    <w:unhideWhenUsed w:val="1"/>
    <w:rsid w:val="0029639D"/>
    <w:pPr>
      <w:spacing w:after="120" w:before="0"/>
      <w:ind w:left="720"/>
      <w:contextualSpacing w:val="1"/>
    </w:pPr>
    <w:rPr/>
  </w:style>
  <w:style w:type="paragraph" w:styleId="ListContinue3">
    <w:name w:val="List Continue 3"/>
    <w:basedOn w:val="Normal"/>
    <w:uiPriority w:val="99"/>
    <w:unhideWhenUsed w:val="1"/>
    <w:rsid w:val="0029639D"/>
    <w:pPr>
      <w:spacing w:after="120" w:before="0"/>
      <w:ind w:left="1080"/>
      <w:contextualSpacing w:val="1"/>
    </w:pPr>
    <w:rPr/>
  </w:style>
  <w:style w:type="paragraph" w:styleId="Macro">
    <w:name w:val="macro"/>
    <w:link w:val="MacroTextChar"/>
    <w:uiPriority w:val="99"/>
    <w:unhideWhenUsed w:val="1"/>
    <w:qFormat w:val="1"/>
    <w:rsid w:val="0029639D"/>
    <w:pPr>
      <w:widowControl w:val="1"/>
      <w:tabs>
        <w:tab w:val="clear" w:pos="720"/>
        <w:tab w:val="left" w:leader="none" w:pos="576"/>
        <w:tab w:val="left" w:leader="none" w:pos="1152"/>
        <w:tab w:val="left" w:leader="none" w:pos="1728"/>
        <w:tab w:val="left" w:leader="none" w:pos="2304"/>
        <w:tab w:val="left" w:leader="none" w:pos="2880"/>
        <w:tab w:val="left" w:leader="none" w:pos="3456"/>
        <w:tab w:val="left" w:leader="none" w:pos="4032"/>
      </w:tabs>
      <w:suppressAutoHyphens w:val="1"/>
      <w:bidi w:val="0"/>
      <w:spacing w:after="200" w:before="0" w:line="276" w:lineRule="auto"/>
      <w:jc w:val="left"/>
    </w:pPr>
    <w:rPr>
      <w:rFonts w:ascii="Courier" w:cs="" w:eastAsia="" w:hAnsi="Courier" w:cstheme="minorBidi" w:eastAsiaTheme="minorEastAsia"/>
      <w:color w:val="auto"/>
      <w:kern w:val="0"/>
      <w:sz w:val="20"/>
      <w:szCs w:val="20"/>
      <w:lang w:bidi="ar-SA" w:eastAsia="en-US" w:val="en-US"/>
    </w:rPr>
  </w:style>
  <w:style w:type="paragraph" w:styleId="Quote">
    <w:name w:val="Quote"/>
    <w:basedOn w:val="Normal"/>
    <w:next w:val="Normal"/>
    <w:link w:val="QuoteChar"/>
    <w:uiPriority w:val="29"/>
    <w:qFormat w:val="1"/>
    <w:rsid w:val="00FC693F"/>
    <w:pPr/>
    <w:rPr>
      <w:i w:val="1"/>
      <w:iCs w:val="1"/>
      <w:color w:val="000000" w:themeColor="text1"/>
    </w:rPr>
  </w:style>
  <w:style w:type="paragraph" w:styleId="Caption1">
    <w:name w:val="caption1"/>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paragraph" w:styleId="IndexHeading">
    <w:name w:val="Index Heading"/>
    <w:basedOn w:val="Heading"/>
    <w:pPr/>
    <w:rPr/>
  </w:style>
  <w:style w:type="paragraph" w:styleId="TOCHeading">
    <w:name w:val="TOC Heading"/>
    <w:basedOn w:val="Heading1"/>
    <w:next w:val="Normal"/>
    <w:uiPriority w:val="39"/>
    <w:semiHidden w:val="1"/>
    <w:unhideWhenUsed w:val="1"/>
    <w:qFormat w:val="1"/>
    <w:rsid w:val="00FC693F"/>
    <w:pPr>
      <w:outlineLvl w:val="9"/>
    </w:pPr>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themeColor="text1" w:themeShade="0000BF"/>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themeColor="accent1" w:themeShade="0000BF"/>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themeColor="accent2" w:themeShade="0000BF"/>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themeColor="accent3" w:themeShade="0000BF"/>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themeColor="accent4" w:themeShade="0000BF"/>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themeColor="accent5" w:themeShade="0000BF"/>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themeColor="accent6" w:themeShade="0000BF"/>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Pr/>
    </w:tblStylePr>
    <w:tblStylePr w:type="lastCol">
      <w:rPr>
        <w:b w:val="1"/>
        <w:bCs w:val="1"/>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Pr/>
    </w:tblStylePr>
    <w:tblStylePr w:type="lastCol">
      <w:rPr>
        <w:b w:val="1"/>
        <w:bCs w:val="1"/>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Pr/>
    </w:tblStylePr>
    <w:tblStylePr w:type="lastCol">
      <w:rPr>
        <w:b w:val="1"/>
        <w:bCs w:val="1"/>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Pr/>
    </w:tblStylePr>
    <w:tblStylePr w:type="lastCol">
      <w:rPr>
        <w:b w:val="1"/>
        <w:bCs w:val="1"/>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Pr/>
    </w:tblStylePr>
    <w:tblStylePr w:type="lastCol">
      <w:rPr>
        <w:b w:val="1"/>
        <w:bCs w:val="1"/>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Pr/>
    </w:tblStylePr>
    <w:tblStylePr w:type="lastCol">
      <w:rPr>
        <w:b w:val="1"/>
        <w:bCs w:val="1"/>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Pr/>
    </w:tblStylePr>
    <w:tblStylePr w:type="lastCol">
      <w:rPr>
        <w:b w:val="1"/>
        <w:bCs w:val="1"/>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themeColor="text2"/>
      </w:rPr>
      <w:tblPr/>
      <w:tcPr>
        <w:tcBorders>
          <w:top w:color="000000" w:space="0" w:sz="8" w:themeColor="text1" w:val="single"/>
          <w:bottom w:color="000000" w:space="0" w:sz="8" w:themeColor="text1" w:val="single"/>
        </w:tcBorders>
      </w:tcPr>
    </w:tblStylePr>
    <w:tblStylePr w:type="firstCol">
      <w:rPr>
        <w:b w:val="1"/>
        <w:bCs w:val="1"/>
      </w:rPr>
      <w:tbl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themeColor="text2"/>
      </w:rPr>
      <w:tblPr/>
      <w:tcPr>
        <w:tcBorders>
          <w:top w:color="4f81bd" w:space="0" w:sz="8" w:themeColor="accent1" w:val="single"/>
          <w:bottom w:color="4f81bd" w:space="0" w:sz="8" w:themeColor="accent1" w:val="single"/>
        </w:tcBorders>
      </w:tcPr>
    </w:tblStylePr>
    <w:tblStylePr w:type="firstCol">
      <w:rPr>
        <w:b w:val="1"/>
        <w:bCs w:val="1"/>
      </w:rPr>
      <w:tbl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themeColor="text2"/>
      </w:rPr>
      <w:tblPr/>
      <w:tcPr>
        <w:tcBorders>
          <w:top w:color="c0504d" w:space="0" w:sz="8" w:themeColor="accent2" w:val="single"/>
          <w:bottom w:color="c0504d" w:space="0" w:sz="8" w:themeColor="accent2" w:val="single"/>
        </w:tcBorders>
      </w:tcPr>
    </w:tblStylePr>
    <w:tblStylePr w:type="firstCol">
      <w:rPr>
        <w:b w:val="1"/>
        <w:bCs w:val="1"/>
      </w:rPr>
      <w:tbl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themeColor="text2"/>
      </w:rPr>
      <w:tblPr/>
      <w:tcPr>
        <w:tcBorders>
          <w:top w:color="9bbb59" w:space="0" w:sz="8" w:themeColor="accent3" w:val="single"/>
          <w:bottom w:color="9bbb59" w:space="0" w:sz="8" w:themeColor="accent3" w:val="single"/>
        </w:tcBorders>
      </w:tcPr>
    </w:tblStylePr>
    <w:tblStylePr w:type="firstCol">
      <w:rPr>
        <w:b w:val="1"/>
        <w:bCs w:val="1"/>
      </w:rPr>
      <w:tbl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themeColor="text2"/>
      </w:rPr>
      <w:tblPr/>
      <w:tcPr>
        <w:tcBorders>
          <w:top w:color="8064a2" w:space="0" w:sz="8" w:themeColor="accent4" w:val="single"/>
          <w:bottom w:color="8064a2" w:space="0" w:sz="8" w:themeColor="accent4" w:val="single"/>
        </w:tcBorders>
      </w:tcPr>
    </w:tblStylePr>
    <w:tblStylePr w:type="firstCol">
      <w:rPr>
        <w:b w:val="1"/>
        <w:bCs w:val="1"/>
      </w:rPr>
      <w:tbl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themeColor="text2"/>
      </w:rPr>
      <w:tblPr/>
      <w:tcPr>
        <w:tcBorders>
          <w:top w:color="4bacc6" w:space="0" w:sz="8" w:themeColor="accent5" w:val="single"/>
          <w:bottom w:color="4bacc6" w:space="0" w:sz="8" w:themeColor="accent5" w:val="single"/>
        </w:tcBorders>
      </w:tcPr>
    </w:tblStylePr>
    <w:tblStylePr w:type="firstCol">
      <w:rPr>
        <w:b w:val="1"/>
        <w:bCs w:val="1"/>
      </w:rPr>
      <w:tbl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themeColor="text2"/>
      </w:rPr>
      <w:tblPr/>
      <w:tcPr>
        <w:tcBorders>
          <w:top w:color="f79646" w:space="0" w:sz="8" w:themeColor="accent6" w:val="single"/>
          <w:bottom w:color="f79646" w:space="0" w:sz="8" w:themeColor="accent6" w:val="single"/>
        </w:tcBorders>
      </w:tcPr>
    </w:tblStylePr>
    <w:tblStylePr w:type="firstCol">
      <w:rPr>
        <w:b w:val="1"/>
        <w:bCs w:val="1"/>
      </w:rPr>
      <w:tbl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Pr/>
    </w:tblStylePr>
    <w:tblStylePr w:type="lastRow">
      <w:rPr>
        <w:b w:val="1"/>
        <w:bCs w:val="1"/>
      </w:rPr>
      <w:tblPr/>
      <w:tcPr>
        <w:tcBorders>
          <w:top w:color="404040" w:space="0" w:sz="18" w:themeColor="text1" w:val="single"/>
        </w:tcBorders>
      </w:tcPr>
    </w:tblStylePr>
    <w:tblStylePr w:type="firstCol">
      <w:rPr>
        <w:b w:val="1"/>
        <w:bCs w:val="1"/>
      </w:rPr>
      <w:tblPr/>
    </w:tblStylePr>
    <w:tblStylePr w:type="lastCol">
      <w:rPr>
        <w:b w:val="1"/>
        <w:bCs w:val="1"/>
      </w:rPr>
      <w:tbl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Pr/>
    </w:tblStylePr>
    <w:tblStylePr w:type="lastRow">
      <w:rPr>
        <w:b w:val="1"/>
        <w:bCs w:val="1"/>
      </w:rPr>
      <w:tblPr/>
      <w:tcPr>
        <w:tcBorders>
          <w:top w:color="7ba0cd" w:space="0" w:sz="18" w:themeColor="accent1" w:val="single"/>
        </w:tcBorders>
      </w:tcPr>
    </w:tblStylePr>
    <w:tblStylePr w:type="firstCol">
      <w:rPr>
        <w:b w:val="1"/>
        <w:bCs w:val="1"/>
      </w:rPr>
      <w:tblPr/>
    </w:tblStylePr>
    <w:tblStylePr w:type="lastCol">
      <w:rPr>
        <w:b w:val="1"/>
        <w:bCs w:val="1"/>
      </w:rPr>
      <w:tbl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Pr/>
    </w:tblStylePr>
    <w:tblStylePr w:type="lastRow">
      <w:rPr>
        <w:b w:val="1"/>
        <w:bCs w:val="1"/>
      </w:rPr>
      <w:tblPr/>
      <w:tcPr>
        <w:tcBorders>
          <w:top w:color="cf7b79" w:space="0" w:sz="18" w:themeColor="accent2" w:val="single"/>
        </w:tcBorders>
      </w:tcPr>
    </w:tblStylePr>
    <w:tblStylePr w:type="firstCol">
      <w:rPr>
        <w:b w:val="1"/>
        <w:bCs w:val="1"/>
      </w:rPr>
      <w:tblPr/>
    </w:tblStylePr>
    <w:tblStylePr w:type="lastCol">
      <w:rPr>
        <w:b w:val="1"/>
        <w:bCs w:val="1"/>
      </w:rPr>
      <w:tbl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Pr/>
    </w:tblStylePr>
    <w:tblStylePr w:type="lastRow">
      <w:rPr>
        <w:b w:val="1"/>
        <w:bCs w:val="1"/>
      </w:rPr>
      <w:tblPr/>
      <w:tcPr>
        <w:tcBorders>
          <w:top w:color="b3cc82" w:space="0" w:sz="18" w:themeColor="accent3" w:val="single"/>
        </w:tcBorders>
      </w:tcPr>
    </w:tblStylePr>
    <w:tblStylePr w:type="firstCol">
      <w:rPr>
        <w:b w:val="1"/>
        <w:bCs w:val="1"/>
      </w:rPr>
      <w:tblPr/>
    </w:tblStylePr>
    <w:tblStylePr w:type="lastCol">
      <w:rPr>
        <w:b w:val="1"/>
        <w:bCs w:val="1"/>
      </w:rPr>
      <w:tbl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Pr/>
    </w:tblStylePr>
    <w:tblStylePr w:type="lastRow">
      <w:rPr>
        <w:b w:val="1"/>
        <w:bCs w:val="1"/>
      </w:rPr>
      <w:tblPr/>
      <w:tcPr>
        <w:tcBorders>
          <w:top w:color="9f8ab9" w:space="0" w:sz="18" w:themeColor="accent4" w:val="single"/>
        </w:tcBorders>
      </w:tcPr>
    </w:tblStylePr>
    <w:tblStylePr w:type="firstCol">
      <w:rPr>
        <w:b w:val="1"/>
        <w:bCs w:val="1"/>
      </w:rPr>
      <w:tblPr/>
    </w:tblStylePr>
    <w:tblStylePr w:type="lastCol">
      <w:rPr>
        <w:b w:val="1"/>
        <w:bCs w:val="1"/>
      </w:rPr>
      <w:tbl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Pr/>
    </w:tblStylePr>
    <w:tblStylePr w:type="lastRow">
      <w:rPr>
        <w:b w:val="1"/>
        <w:bCs w:val="1"/>
      </w:rPr>
      <w:tblPr/>
      <w:tcPr>
        <w:tcBorders>
          <w:top w:color="78c0d4" w:space="0" w:sz="18" w:themeColor="accent5" w:val="single"/>
        </w:tcBorders>
      </w:tcPr>
    </w:tblStylePr>
    <w:tblStylePr w:type="firstCol">
      <w:rPr>
        <w:b w:val="1"/>
        <w:bCs w:val="1"/>
      </w:rPr>
      <w:tblPr/>
    </w:tblStylePr>
    <w:tblStylePr w:type="lastCol">
      <w:rPr>
        <w:b w:val="1"/>
        <w:bCs w:val="1"/>
      </w:rPr>
      <w:tbl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Pr/>
    </w:tblStylePr>
    <w:tblStylePr w:type="lastRow">
      <w:rPr>
        <w:b w:val="1"/>
        <w:bCs w:val="1"/>
      </w:rPr>
      <w:tblPr/>
      <w:tcPr>
        <w:tcBorders>
          <w:top w:color="f9b074" w:space="0" w:sz="18" w:themeColor="accent6" w:val="single"/>
        </w:tcBorders>
      </w:tcPr>
    </w:tblStylePr>
    <w:tblStylePr w:type="firstCol">
      <w:rPr>
        <w:b w:val="1"/>
        <w:bCs w:val="1"/>
      </w:rPr>
      <w:tblPr/>
    </w:tblStylePr>
    <w:tblStylePr w:type="lastCol">
      <w:rPr>
        <w:b w:val="1"/>
        <w:bCs w:val="1"/>
      </w:rPr>
      <w:tbl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themeColor="text1"/>
      </w:rPr>
      <w:tblPr/>
      <w:tcPr>
        <w:shd w:color="auto" w:fill="e6e6e6" w:themeFill="tex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themeColor="text1"/>
      </w:rPr>
      <w:tblPr/>
      <w:tcPr>
        <w:shd w:color="auto" w:fill="edf2f8" w:themeFill="accen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themeColor="text1"/>
      </w:rPr>
      <w:tblPr/>
      <w:tcPr>
        <w:shd w:color="auto" w:fill="f8eded" w:themeFill="accent2"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themeColor="text1"/>
      </w:rPr>
      <w:tblPr/>
      <w:tcPr>
        <w:shd w:color="auto" w:fill="f5f8ee" w:themeFill="accent3"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themeColor="text1"/>
      </w:rPr>
      <w:tblPr/>
      <w:tcPr>
        <w:shd w:color="auto" w:fill="f2eff6" w:themeFill="accent4"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themeColor="text1"/>
      </w:rPr>
      <w:tblPr/>
      <w:tcPr>
        <w:shd w:color="auto" w:fill="edf6f9" w:themeFill="accent5"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themeColor="text1"/>
      </w:rPr>
      <w:tblPr/>
      <w:tcPr>
        <w:shd w:color="auto" w:fill="fef4ec" w:themeFill="accent6"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000000" w:themeFill="text1" w:themeFillShade="000099" w:val="clear"/>
      </w:tcPr>
    </w:tblStylePr>
    <w:tblStylePr w:type="firstCol">
      <w:rPr>
        <w:color w:themeColor="background1"/>
      </w:rPr>
      <w:tblPr/>
      <w:tcPr>
        <w:tcBorders>
          <w:top w:space="0" w:sz="0" w:val="nil"/>
          <w:left w:space="0" w:sz="0" w:val="nil"/>
          <w:bottom w:space="0" w:sz="0" w:val="nil"/>
          <w:right w:space="0" w:sz="0" w:val="nil"/>
          <w:insideH w:color="000000" w:space="0" w:sz="4" w:themeColor="text1" w:val="single"/>
          <w:insideV w:space="0" w:sz="0" w:val="nil"/>
        </w:tcBorders>
        <w:shd w:color="auto" w:fill="000000" w:themeFill="tex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c4c74" w:themeFill="accent1" w:themeFillShade="000099" w:val="clear"/>
      </w:tcPr>
    </w:tblStylePr>
    <w:tblStylePr w:type="firstCol">
      <w:rPr>
        <w:color w:themeColor="background1"/>
      </w:rPr>
      <w:tblPr/>
      <w:tcPr>
        <w:tcBorders>
          <w:top w:space="0" w:sz="0" w:val="nil"/>
          <w:left w:space="0" w:sz="0" w:val="nil"/>
          <w:bottom w:space="0" w:sz="0" w:val="nil"/>
          <w:right w:space="0" w:sz="0" w:val="nil"/>
          <w:insideH w:color="2c4c74" w:space="0" w:sz="4" w:themeColor="accent1" w:val="single"/>
          <w:insideV w:space="0" w:sz="0" w:val="nil"/>
        </w:tcBorders>
        <w:shd w:color="auto" w:fill="2c4c74" w:themeFill="accen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772c2a" w:themeFill="accent2" w:themeFillShade="000099" w:val="clear"/>
      </w:tcPr>
    </w:tblStylePr>
    <w:tblStylePr w:type="firstCol">
      <w:rPr>
        <w:color w:themeColor="background1"/>
      </w:rPr>
      <w:tblPr/>
      <w:tcPr>
        <w:tcBorders>
          <w:top w:space="0" w:sz="0" w:val="nil"/>
          <w:left w:space="0" w:sz="0" w:val="nil"/>
          <w:bottom w:space="0" w:sz="0" w:val="nil"/>
          <w:right w:space="0" w:sz="0" w:val="nil"/>
          <w:insideH w:color="772c2a" w:space="0" w:sz="4" w:themeColor="accent2" w:val="single"/>
          <w:insideV w:space="0" w:sz="0" w:val="nil"/>
        </w:tcBorders>
        <w:shd w:color="auto" w:fill="772c2a" w:themeFill="accent2"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5e7530" w:themeFill="accent3" w:themeFillShade="000099" w:val="clear"/>
      </w:tcPr>
    </w:tblStylePr>
    <w:tblStylePr w:type="firstCol">
      <w:rPr>
        <w:color w:themeColor="background1"/>
      </w:rPr>
      <w:tblPr/>
      <w:tcPr>
        <w:tcBorders>
          <w:top w:space="0" w:sz="0" w:val="nil"/>
          <w:left w:space="0" w:sz="0" w:val="nil"/>
          <w:bottom w:space="0" w:sz="0" w:val="nil"/>
          <w:right w:space="0" w:sz="0" w:val="nil"/>
          <w:insideH w:color="5e7530" w:space="0" w:sz="4" w:themeColor="accent3" w:val="single"/>
          <w:insideV w:space="0" w:sz="0" w:val="nil"/>
        </w:tcBorders>
        <w:shd w:color="auto" w:fill="5e7530" w:themeFill="accent3"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4c3b62" w:themeFill="accent4" w:themeFillShade="000099" w:val="clear"/>
      </w:tcPr>
    </w:tblStylePr>
    <w:tblStylePr w:type="firstCol">
      <w:rPr>
        <w:color w:themeColor="background1"/>
      </w:rPr>
      <w:tblPr/>
      <w:tcPr>
        <w:tcBorders>
          <w:top w:space="0" w:sz="0" w:val="nil"/>
          <w:left w:space="0" w:sz="0" w:val="nil"/>
          <w:bottom w:space="0" w:sz="0" w:val="nil"/>
          <w:right w:space="0" w:sz="0" w:val="nil"/>
          <w:insideH w:color="4c3b62" w:space="0" w:sz="4" w:themeColor="accent4" w:val="single"/>
          <w:insideV w:space="0" w:sz="0" w:val="nil"/>
        </w:tcBorders>
        <w:shd w:color="auto" w:fill="4c3b62" w:themeFill="accent4"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76a7c" w:themeFill="accent5" w:themeFillShade="000099" w:val="clear"/>
      </w:tcPr>
    </w:tblStylePr>
    <w:tblStylePr w:type="firstCol">
      <w:rPr>
        <w:color w:themeColor="background1"/>
      </w:rPr>
      <w:tblPr/>
      <w:tcPr>
        <w:tcBorders>
          <w:top w:space="0" w:sz="0" w:val="nil"/>
          <w:left w:space="0" w:sz="0" w:val="nil"/>
          <w:bottom w:space="0" w:sz="0" w:val="nil"/>
          <w:right w:space="0" w:sz="0" w:val="nil"/>
          <w:insideH w:color="276a7c" w:space="0" w:sz="4" w:themeColor="accent5" w:val="single"/>
          <w:insideV w:space="0" w:sz="0" w:val="nil"/>
        </w:tcBorders>
        <w:shd w:color="auto" w:fill="276a7c" w:themeFill="accent5"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b65608" w:themeFill="accent6" w:themeFillShade="000099" w:val="clear"/>
      </w:tcPr>
    </w:tblStylePr>
    <w:tblStylePr w:type="firstCol">
      <w:rPr>
        <w:color w:themeColor="background1"/>
      </w:rPr>
      <w:tblPr/>
      <w:tcPr>
        <w:tcBorders>
          <w:top w:space="0" w:sz="0" w:val="nil"/>
          <w:left w:space="0" w:sz="0" w:val="nil"/>
          <w:bottom w:space="0" w:sz="0" w:val="nil"/>
          <w:right w:space="0" w:sz="0" w:val="nil"/>
          <w:insideH w:color="b65608" w:space="0" w:sz="4" w:themeColor="accent6" w:val="single"/>
          <w:insideV w:space="0" w:sz="0" w:val="nil"/>
        </w:tcBorders>
        <w:shd w:color="auto" w:fill="b65608" w:themeFill="accent6"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6e6e6" w:themeFill="tex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2f8" w:themeFill="accen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8eded" w:themeFill="accent2"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5f8ee" w:themeFill="accent3" w:themeFillTint="000019" w:val="clear"/>
    </w:tcPr>
    <w:tblStylePr w:type="firstRow">
      <w:rPr>
        <w:b w:val="1"/>
        <w:bCs w:val="1"/>
        <w:color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themeColor="accent4"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2eff6" w:themeFill="accent4" w:themeFillTint="000019" w:val="clear"/>
    </w:tcPr>
    <w:tblStylePr w:type="firstRow">
      <w:rPr>
        <w:b w:val="1"/>
        <w:bCs w:val="1"/>
        <w:color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themeColor="accent3"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6f9" w:themeFill="accent5" w:themeFillTint="000019" w:val="clear"/>
    </w:tcPr>
    <w:tblStylePr w:type="firstRow">
      <w:rPr>
        <w:b w:val="1"/>
        <w:bCs w:val="1"/>
        <w:color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themeColor="accent6"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ef4ec" w:themeFill="accent6" w:themeFillTint="000019" w:val="clear"/>
    </w:tcPr>
    <w:tblStylePr w:type="firstRow">
      <w:rPr>
        <w:b w:val="1"/>
        <w:bCs w:val="1"/>
        <w:color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themeColor="accent5"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themeColor="text1"/>
      </w:rPr>
      <w:tblPr/>
      <w:tcPr>
        <w:shd w:color="auto" w:fill="999999" w:themeFill="text1" w:themeFillTint="000066" w:val="clear"/>
      </w:tcPr>
    </w:tblStylePr>
    <w:tblStylePr w:type="firstCol">
      <w:rPr>
        <w:color w:themeColor="background1"/>
      </w:rPr>
      <w:tblPr/>
      <w:tcPr>
        <w:shd w:color="auto" w:fill="000000" w:themeFill="text1" w:themeFillShade="0000BF" w:val="clear"/>
      </w:tcPr>
    </w:tblStylePr>
    <w:tblStylePr w:type="lastCol">
      <w:rPr>
        <w:color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themeColor="text1"/>
      </w:rPr>
      <w:tblPr/>
      <w:tcPr>
        <w:shd w:color="auto" w:fill="b8cce4" w:themeFill="accent1" w:themeFillTint="000066" w:val="clear"/>
      </w:tcPr>
    </w:tblStylePr>
    <w:tblStylePr w:type="firstCol">
      <w:rPr>
        <w:color w:themeColor="background1"/>
      </w:rPr>
      <w:tblPr/>
      <w:tcPr>
        <w:shd w:color="auto" w:fill="365f91" w:themeFill="accent1" w:themeFillShade="0000BF" w:val="clear"/>
      </w:tcPr>
    </w:tblStylePr>
    <w:tblStylePr w:type="lastCol">
      <w:rPr>
        <w:color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themeColor="text1"/>
      </w:rPr>
      <w:tblPr/>
      <w:tcPr>
        <w:shd w:color="auto" w:fill="e5b8b7" w:themeFill="accent2" w:themeFillTint="000066" w:val="clear"/>
      </w:tcPr>
    </w:tblStylePr>
    <w:tblStylePr w:type="firstCol">
      <w:rPr>
        <w:color w:themeColor="background1"/>
      </w:rPr>
      <w:tblPr/>
      <w:tcPr>
        <w:shd w:color="auto" w:fill="943634" w:themeFill="accent2" w:themeFillShade="0000BF" w:val="clear"/>
      </w:tcPr>
    </w:tblStylePr>
    <w:tblStylePr w:type="lastCol">
      <w:rPr>
        <w:color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themeColor="text1"/>
      </w:rPr>
      <w:tblPr/>
      <w:tcPr>
        <w:shd w:color="auto" w:fill="d6e3bc" w:themeFill="accent3" w:themeFillTint="000066" w:val="clear"/>
      </w:tcPr>
    </w:tblStylePr>
    <w:tblStylePr w:type="firstCol">
      <w:rPr>
        <w:color w:themeColor="background1"/>
      </w:rPr>
      <w:tblPr/>
      <w:tcPr>
        <w:shd w:color="auto" w:fill="76923c" w:themeFill="accent3" w:themeFillShade="0000BF" w:val="clear"/>
      </w:tcPr>
    </w:tblStylePr>
    <w:tblStylePr w:type="lastCol">
      <w:rPr>
        <w:color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themeColor="text1"/>
      </w:rPr>
      <w:tblPr/>
      <w:tcPr>
        <w:shd w:color="auto" w:fill="ccc0d9" w:themeFill="accent4" w:themeFillTint="000066" w:val="clear"/>
      </w:tcPr>
    </w:tblStylePr>
    <w:tblStylePr w:type="firstCol">
      <w:rPr>
        <w:color w:themeColor="background1"/>
      </w:rPr>
      <w:tblPr/>
      <w:tcPr>
        <w:shd w:color="auto" w:fill="5f497a" w:themeFill="accent4" w:themeFillShade="0000BF" w:val="clear"/>
      </w:tcPr>
    </w:tblStylePr>
    <w:tblStylePr w:type="lastCol">
      <w:rPr>
        <w:color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themeColor="text1"/>
      </w:rPr>
      <w:tblPr/>
      <w:tcPr>
        <w:shd w:color="auto" w:fill="b6dde8" w:themeFill="accent5" w:themeFillTint="000066" w:val="clear"/>
      </w:tcPr>
    </w:tblStylePr>
    <w:tblStylePr w:type="firstCol">
      <w:rPr>
        <w:color w:themeColor="background1"/>
      </w:rPr>
      <w:tblPr/>
      <w:tcPr>
        <w:shd w:color="auto" w:fill="31849b" w:themeFill="accent5" w:themeFillShade="0000BF" w:val="clear"/>
      </w:tcPr>
    </w:tblStylePr>
    <w:tblStylePr w:type="lastCol">
      <w:rPr>
        <w:color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themeColor="text1"/>
      </w:rPr>
      <w:tblPr/>
      <w:tcPr>
        <w:shd w:color="auto" w:fill="fbd4b4" w:themeFill="accent6" w:themeFillTint="000066" w:val="clear"/>
      </w:tcPr>
    </w:tblStylePr>
    <w:tblStylePr w:type="firstCol">
      <w:rPr>
        <w:color w:themeColor="background1"/>
      </w:rPr>
      <w:tblPr/>
      <w:tcPr>
        <w:shd w:color="auto" w:fill="e36c0a" w:themeFill="accent6" w:themeFillShade="0000BF" w:val="clear"/>
      </w:tcPr>
    </w:tblStylePr>
    <w:tblStylePr w:type="lastCol">
      <w:rPr>
        <w:color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ocs.google.com/document/u/0/d/1xde1fsKuFQ_j9IkMNH6yeOX2rcGVCTyFy_pHW2OZP-w/edit" TargetMode="External"/><Relationship Id="rId9" Type="http://schemas.openxmlformats.org/officeDocument/2006/relationships/hyperlink" Target="https://docs.google.com/document/u/0/d/1mCSjlyUa8a6gqYtL68VvJZC6PKy59R3J/edit"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ocs.google.com/document/u/0/d/1RHPstFBycJXGRH9qv2QDODmMufEaahhL/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tVXr9pVLRAST8RX4RyXus4bqZQ==">CgMxLjAyD2lkLmk4cndwYmgxamczMjIMaC54enI3ZjJwOGo4Mg5oLmE2cXZham5sazg4OTgAciExMVNkb0JSdUpaWHRMVGYyU2pyMktNQjB6LXh4dnNTRzA=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file>