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Universal Software-Driven Constraint Tracking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- This document captures constraints that originate from software itself, including architectural decisions, performance targets, concurrency limits, interface restrictions, and memory behavior.</w:t>
        <w:br w:type="textWrapping"/>
        <w:t xml:space="preserve">- These constraints apply across various software domains (embedded, cloud, web, mobile, hybrid).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- Traceability to IEEE 29148 (SRS), ISO 26262 (safety), DO-178C (avionics), IEC 62304 (medical), and other domain-specific standards is enabled where required.</w:t>
      </w:r>
    </w:p>
    <w:tbl>
      <w:tblPr>
        <w:tblStyle w:val="Table1"/>
        <w:tblW w:w="8640.0" w:type="dxa"/>
        <w:jc w:val="left"/>
        <w:tblInd w:w="-108.0" w:type="dxa"/>
        <w:tblLayout w:type="fixed"/>
        <w:tblLook w:val="0400"/>
      </w:tblPr>
      <w:tblGrid>
        <w:gridCol w:w="720"/>
        <w:gridCol w:w="720"/>
        <w:gridCol w:w="720"/>
        <w:gridCol w:w="720"/>
        <w:gridCol w:w="735"/>
        <w:gridCol w:w="705"/>
        <w:gridCol w:w="720"/>
        <w:gridCol w:w="735"/>
        <w:gridCol w:w="705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35"/>
            <w:gridCol w:w="705"/>
            <w:gridCol w:w="720"/>
            <w:gridCol w:w="735"/>
            <w:gridCol w:w="705"/>
            <w:gridCol w:w="720"/>
            <w:gridCol w:w="720"/>
            <w:gridCol w:w="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Constraint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Constraint Description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Design Rationale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Impacted Requirements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Domain Application(s)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Impacted Components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Associated Standard(s)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Verification Method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Risk Impact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before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SWC-01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Support real-time NICU device streams in HL7-FHIR v2-3 and DICOM formats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Ensure data interoperability and 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NICU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HL7-FHIR v2-3, DICOM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Unit tests, integration tests, sample data validation, formal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SWC-02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Clean, normalize, and standardize data preserving mandatory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Maintain data integrity for the AI modules.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NICU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Communication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HL7-FHIR v2-3, DICOM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SWC-03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Store processed data as versioned, structured datasets  within 5 seconds per record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Patient data must be ready to use Re/train ai models.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FR-7,8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Front-End &amp; Back-End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IEC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29115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Module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Deliver processed data to AI engines in real time with &lt;5ms latency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Working for real time diagnosis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Communication, AI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Preprocessor, Communication Layer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HL7-FHIR v2-3, DICOM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SWC-05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Module&amp;Device Integration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System shall capable for handle 20 NICU &amp; AI Engine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Clinics are working with multiple patient&amp; devices at same time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FR-2,4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system, Communication,AI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Preprocessor, Communication Layer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HL7-FHIR v2-3, DICOM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SWC-06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Displaying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system shall display diagnosis in real time with &lt;10 ms latency in the website dashboard.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Real time diagnosis is critical for patients 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System, Communication layer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Communication Layer, Frontend, Backend.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SWC-07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Audit configuration logs must be encrypted  and stored immutable in given database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Ensure legality and traceability 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FR-6,7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&amp; Privacy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Database, Authentication System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SWC-08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processing steps must be stored in database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Help engineers for debugging and working on data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FR-3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Database, Processing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Database,Processor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SWC-09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Login must be mandatory with strong password that contains mixed case characters, symbols and numbers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Protect system for outside users. 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FR-8,9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security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Authentication/login system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GDPR,IEC 27002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SWC-10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 login information stored in database encrypted.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Passwords can not be stored in plain text.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FR-8,9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and security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Authentication/login system, Database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IEC 27002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SWC-11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Security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should be red encrypted for transferring. 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Protect patient data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FR-2,3,4,5,6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Security and Compliance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Communication layer. Database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SWC-12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Scalability &amp; Performance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System shall process one  NICU device  data in realtime with &lt;50ms latency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Real time patient diagnosis is critical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FR-1,2</w:t>
              <w:br w:type="textWrapping"/>
              <w:t xml:space="preserve">NFR-2,3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Real Time systems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Preprocessor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SWC-13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Database, NICU device connection, preprocessing configurations done by authenticated users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 should edit configurations in their responsibilities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Dev Team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FR-8.9</w:t>
              <w:br w:type="textWrapping"/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Authentication systems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system overall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00" w:before="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Proposed</w:t>
            </w:r>
          </w:p>
        </w:tc>
      </w:tr>
    </w:tbl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Approval &amp; Control</w:t>
      </w:r>
    </w:p>
    <w:tbl>
      <w:tblPr>
        <w:tblStyle w:val="Table2"/>
        <w:tblW w:w="8639.0" w:type="dxa"/>
        <w:jc w:val="left"/>
        <w:tblInd w:w="-108.0" w:type="dxa"/>
        <w:tblLayout w:type="fixed"/>
        <w:tblLook w:val="0400"/>
      </w:tblPr>
      <w:tblGrid>
        <w:gridCol w:w="2160"/>
        <w:gridCol w:w="2160"/>
        <w:gridCol w:w="2160"/>
        <w:gridCol w:w="2159"/>
        <w:tblGridChange w:id="0">
          <w:tblGrid>
            <w:gridCol w:w="2160"/>
            <w:gridCol w:w="2160"/>
            <w:gridCol w:w="2160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clTPKl5PA2QKh712zQ4fE3bGg==">CgMxLjA4AHIhMVJIUHN0RkJ5Y0pYR1JIOXF2MlFET0RtTXVmRWFhaGhM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