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bl>
    <w:p w:rsidR="00000000" w:rsidDel="00000000" w:rsidP="00000000" w:rsidRDefault="00000000" w:rsidRPr="00000000" w14:paraId="0000002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sdt>
      <w:sdtPr>
        <w:id w:val="416589869"/>
        <w:docPartObj>
          <w:docPartGallery w:val="Table of Contents"/>
          <w:docPartUnique w:val="1"/>
        </w:docPartObj>
      </w:sdtPr>
      <w:sdtContent>
        <w:p w:rsidR="00000000" w:rsidDel="00000000" w:rsidP="00000000" w:rsidRDefault="00000000" w:rsidRPr="00000000" w14:paraId="0000002F">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0">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1">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2">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35">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p4lyf9sp0rl">
            <w:r w:rsidDel="00000000" w:rsidR="00000000" w:rsidRPr="00000000">
              <w:rPr>
                <w:b w:val="0"/>
                <w:bCs w:val="0"/>
                <w:color w:val="1155cc"/>
                <w:u w:val="single"/>
                <w:rtl w:val="0"/>
              </w:rPr>
              <w:t xml:space="preserve">6. Appendix</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ctseyc7j0yye">
            <w:r w:rsidDel="00000000" w:rsidR="00000000" w:rsidRPr="00000000">
              <w:rPr>
                <w:b w:val="0"/>
                <w:bCs w:val="0"/>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Summarize purpose and scope of the architecture.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defines a secure, interoperable system that unifies all NICU data sources under standardized protocols such as HL7, DICOM, and FHIR.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enables real-time data ingestion, AI-driven preprocessing, and clinical visualization to improve decision-making and patient outcomes in NICUs.</w:t>
      </w:r>
    </w:p>
    <w:p w:rsidR="00000000" w:rsidDel="00000000" w:rsidP="00000000" w:rsidRDefault="00000000" w:rsidRPr="00000000" w14:paraId="0000005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covers:</w:t>
      </w:r>
    </w:p>
    <w:p w:rsidR="00000000" w:rsidDel="00000000" w:rsidP="00000000" w:rsidRDefault="00000000" w:rsidRPr="00000000" w14:paraId="00000052">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acquisition and integration of NICU physiological, imaging, and clinical data</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AI-enhanced preprocessing pipeline for data cleaning, normalization, and standardization (HL7, DICOM, FHIR)</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data storage and web-based visualization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Context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Define the system boundary and external interfaces (context diagram recommended).</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Architectural Views</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Logical View</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191125"/>
            <wp:effectExtent b="0" l="0" r="0" t="0"/>
            <wp:docPr id="2" name="image4.png"/>
            <a:graphic>
              <a:graphicData uri="http://schemas.openxmlformats.org/drawingml/2006/picture">
                <pic:pic>
                  <pic:nvPicPr>
                    <pic:cNvPr id="0" name="image4.png"/>
                    <pic:cNvPicPr preferRelativeResize="0"/>
                  </pic:nvPicPr>
                  <pic:blipFill>
                    <a:blip r:embed="rId8"/>
                    <a:srcRect b="0" l="0" r="0" t="19734"/>
                    <a:stretch>
                      <a:fillRect/>
                    </a:stretch>
                  </pic:blipFill>
                  <pic:spPr>
                    <a:xfrm>
                      <a:off x="0" y="0"/>
                      <a:ext cx="54864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IoMT devices and hospital information systems act as data sources, feeding real-time neonatal data into the </w:t>
      </w:r>
      <w:r w:rsidDel="00000000" w:rsidR="00000000" w:rsidRPr="00000000">
        <w:rPr>
          <w:rFonts w:ascii="Times New Roman" w:cs="Times New Roman" w:eastAsia="Times New Roman" w:hAnsi="Times New Roman"/>
          <w:b w:val="1"/>
          <w:bCs w:val="1"/>
          <w:sz w:val="24"/>
          <w:szCs w:val="24"/>
          <w:rtl w:val="0"/>
        </w:rPr>
        <w:t xml:space="preserve">NICU_DataSource</w:t>
      </w:r>
      <w:r w:rsidDel="00000000" w:rsidR="00000000" w:rsidRPr="00000000">
        <w:rPr>
          <w:rFonts w:ascii="Times New Roman" w:cs="Times New Roman" w:eastAsia="Times New Roman" w:hAnsi="Times New Roman"/>
          <w:sz w:val="24"/>
          <w:szCs w:val="24"/>
          <w:rtl w:val="0"/>
        </w:rPr>
        <w:t xml:space="preserve"> interface. The </w:t>
      </w:r>
      <w:r w:rsidDel="00000000" w:rsidR="00000000" w:rsidRPr="00000000">
        <w:rPr>
          <w:rFonts w:ascii="Times New Roman" w:cs="Times New Roman" w:eastAsia="Times New Roman" w:hAnsi="Times New Roman"/>
          <w:b w:val="1"/>
          <w:bCs w:val="1"/>
          <w:sz w:val="24"/>
          <w:szCs w:val="24"/>
          <w:rtl w:val="0"/>
        </w:rPr>
        <w:t xml:space="preserve">DataIngestionManager</w:t>
      </w:r>
      <w:r w:rsidDel="00000000" w:rsidR="00000000" w:rsidRPr="00000000">
        <w:rPr>
          <w:rFonts w:ascii="Times New Roman" w:cs="Times New Roman" w:eastAsia="Times New Roman" w:hAnsi="Times New Roman"/>
          <w:sz w:val="24"/>
          <w:szCs w:val="24"/>
          <w:rtl w:val="0"/>
        </w:rPr>
        <w:t xml:space="preserve"> receives this input, queues the raw data, and sends it to the </w:t>
      </w:r>
      <w:r w:rsidDel="00000000" w:rsidR="00000000" w:rsidRPr="00000000">
        <w:rPr>
          <w:rFonts w:ascii="Times New Roman" w:cs="Times New Roman" w:eastAsia="Times New Roman" w:hAnsi="Times New Roman"/>
          <w:b w:val="1"/>
          <w:bCs w:val="1"/>
          <w:sz w:val="24"/>
          <w:szCs w:val="24"/>
          <w:rtl w:val="0"/>
        </w:rPr>
        <w:t xml:space="preserve">PreprocessingPipeline</w:t>
      </w:r>
      <w:r w:rsidDel="00000000" w:rsidR="00000000" w:rsidRPr="00000000">
        <w:rPr>
          <w:rFonts w:ascii="Times New Roman" w:cs="Times New Roman" w:eastAsia="Times New Roman" w:hAnsi="Times New Roman"/>
          <w:sz w:val="24"/>
          <w:szCs w:val="24"/>
          <w:rtl w:val="0"/>
        </w:rPr>
        <w:t xml:space="preserve">, where operations like cleaning, normalization, and standardization are performed. Once processed, the refined data can be accessed or transmitted via the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which manages input and output through its internal data queue. </w:t>
      </w:r>
    </w:p>
    <w:p w:rsidR="00000000" w:rsidDel="00000000" w:rsidP="00000000" w:rsidRDefault="00000000" w:rsidRPr="00000000" w14:paraId="00000068">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3.2 Process View</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37338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AI-Enhanced Data Preprocessing and Ingestion Layer</w:t>
      </w:r>
      <w:r w:rsidDel="00000000" w:rsidR="00000000" w:rsidRPr="00000000">
        <w:rPr>
          <w:rFonts w:ascii="Times New Roman" w:cs="Times New Roman" w:eastAsia="Times New Roman" w:hAnsi="Times New Roman"/>
          <w:sz w:val="24"/>
          <w:szCs w:val="24"/>
          <w:rtl w:val="0"/>
        </w:rPr>
        <w:t xml:space="preserve"> serves as the core process, receiving input from </w:t>
      </w:r>
      <w:r w:rsidDel="00000000" w:rsidR="00000000" w:rsidRPr="00000000">
        <w:rPr>
          <w:rFonts w:ascii="Times New Roman" w:cs="Times New Roman" w:eastAsia="Times New Roman" w:hAnsi="Times New Roman"/>
          <w:b w:val="1"/>
          <w:bCs w:val="1"/>
          <w:sz w:val="24"/>
          <w:szCs w:val="24"/>
          <w:rtl w:val="0"/>
        </w:rPr>
        <w:t xml:space="preserve">NICU devices</w:t>
      </w:r>
      <w:r w:rsidDel="00000000" w:rsidR="00000000" w:rsidRPr="00000000">
        <w:rPr>
          <w:rFonts w:ascii="Times New Roman" w:cs="Times New Roman" w:eastAsia="Times New Roman" w:hAnsi="Times New Roman"/>
          <w:sz w:val="24"/>
          <w:szCs w:val="24"/>
          <w:rtl w:val="0"/>
        </w:rPr>
        <w:t xml:space="preserve"> via the </w:t>
      </w:r>
      <w:r w:rsidDel="00000000" w:rsidR="00000000" w:rsidRPr="00000000">
        <w:rPr>
          <w:rFonts w:ascii="Times New Roman" w:cs="Times New Roman" w:eastAsia="Times New Roman" w:hAnsi="Times New Roman"/>
          <w:b w:val="1"/>
          <w:bCs w:val="1"/>
          <w:sz w:val="24"/>
          <w:szCs w:val="24"/>
          <w:rtl w:val="0"/>
        </w:rPr>
        <w:t xml:space="preserve">NICU Device Interface</w:t>
      </w:r>
      <w:r w:rsidDel="00000000" w:rsidR="00000000" w:rsidRPr="00000000">
        <w:rPr>
          <w:rFonts w:ascii="Times New Roman" w:cs="Times New Roman" w:eastAsia="Times New Roman" w:hAnsi="Times New Roman"/>
          <w:sz w:val="24"/>
          <w:szCs w:val="24"/>
          <w:rtl w:val="0"/>
        </w:rPr>
        <w:t xml:space="preserve"> and forwarding refined data to both the </w:t>
      </w:r>
      <w:r w:rsidDel="00000000" w:rsidR="00000000" w:rsidRPr="00000000">
        <w:rPr>
          <w:rFonts w:ascii="Times New Roman" w:cs="Times New Roman" w:eastAsia="Times New Roman" w:hAnsi="Times New Roman"/>
          <w:b w:val="1"/>
          <w:bCs w:val="1"/>
          <w:sz w:val="24"/>
          <w:szCs w:val="24"/>
          <w:rtl w:val="0"/>
        </w:rPr>
        <w:t xml:space="preserve">Database Interface</w:t>
      </w:r>
      <w:r w:rsidDel="00000000" w:rsidR="00000000" w:rsidRPr="00000000">
        <w:rPr>
          <w:rFonts w:ascii="Times New Roman" w:cs="Times New Roman" w:eastAsia="Times New Roman" w:hAnsi="Times New Roman"/>
          <w:sz w:val="24"/>
          <w:szCs w:val="24"/>
          <w:rtl w:val="0"/>
        </w:rPr>
        <w:t xml:space="preserve"> for storage and the </w:t>
      </w:r>
      <w:r w:rsidDel="00000000" w:rsidR="00000000" w:rsidRPr="00000000">
        <w:rPr>
          <w:rFonts w:ascii="Times New Roman" w:cs="Times New Roman" w:eastAsia="Times New Roman" w:hAnsi="Times New Roman"/>
          <w:b w:val="1"/>
          <w:bCs w:val="1"/>
          <w:sz w:val="24"/>
          <w:szCs w:val="24"/>
          <w:rtl w:val="0"/>
        </w:rPr>
        <w:t xml:space="preserve">Web User Interface</w:t>
      </w:r>
      <w:r w:rsidDel="00000000" w:rsidR="00000000" w:rsidRPr="00000000">
        <w:rPr>
          <w:rFonts w:ascii="Times New Roman" w:cs="Times New Roman" w:eastAsia="Times New Roman" w:hAnsi="Times New Roman"/>
          <w:sz w:val="24"/>
          <w:szCs w:val="24"/>
          <w:rtl w:val="0"/>
        </w:rPr>
        <w:t xml:space="preserve"> for visualization and control. The </w:t>
      </w:r>
      <w:r w:rsidDel="00000000" w:rsidR="00000000" w:rsidRPr="00000000">
        <w:rPr>
          <w:rFonts w:ascii="Times New Roman" w:cs="Times New Roman" w:eastAsia="Times New Roman" w:hAnsi="Times New Roman"/>
          <w:b w:val="1"/>
          <w:bCs w:val="1"/>
          <w:sz w:val="24"/>
          <w:szCs w:val="24"/>
          <w:rtl w:val="0"/>
        </w:rPr>
        <w:t xml:space="preserve">Web User Interface</w:t>
      </w:r>
      <w:r w:rsidDel="00000000" w:rsidR="00000000" w:rsidRPr="00000000">
        <w:rPr>
          <w:rFonts w:ascii="Times New Roman" w:cs="Times New Roman" w:eastAsia="Times New Roman" w:hAnsi="Times New Roman"/>
          <w:sz w:val="24"/>
          <w:szCs w:val="24"/>
          <w:rtl w:val="0"/>
        </w:rPr>
        <w:t xml:space="preserve"> enables clinicians to configure system settings, monitor real-time data, and access diagnostic outputs, while the </w:t>
      </w:r>
      <w:r w:rsidDel="00000000" w:rsidR="00000000" w:rsidRPr="00000000">
        <w:rPr>
          <w:rFonts w:ascii="Times New Roman" w:cs="Times New Roman" w:eastAsia="Times New Roman" w:hAnsi="Times New Roman"/>
          <w:b w:val="1"/>
          <w:bCs w:val="1"/>
          <w:sz w:val="24"/>
          <w:szCs w:val="24"/>
          <w:rtl w:val="0"/>
        </w:rPr>
        <w:t xml:space="preserve">Database Interface</w:t>
      </w:r>
      <w:r w:rsidDel="00000000" w:rsidR="00000000" w:rsidRPr="00000000">
        <w:rPr>
          <w:rFonts w:ascii="Times New Roman" w:cs="Times New Roman" w:eastAsia="Times New Roman" w:hAnsi="Times New Roman"/>
          <w:sz w:val="24"/>
          <w:szCs w:val="24"/>
          <w:rtl w:val="0"/>
        </w:rPr>
        <w:t xml:space="preserve"> ensures persistent data management for analysis and historical tracking. Overall, this process ensures a continuous, bidirectional data flow that connects device inputs, intelligent preprocessing, and user-facing applications within a unified operational framework.</w:t>
      </w:r>
    </w:p>
    <w:p w:rsidR="00000000" w:rsidDel="00000000" w:rsidP="00000000" w:rsidRDefault="00000000" w:rsidRPr="00000000" w14:paraId="0000006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3.3 Physical View</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95407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95938" cy="395407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NICU Device Layer</w:t>
      </w:r>
      <w:r w:rsidDel="00000000" w:rsidR="00000000" w:rsidRPr="00000000">
        <w:rPr>
          <w:rFonts w:ascii="Times New Roman" w:cs="Times New Roman" w:eastAsia="Times New Roman" w:hAnsi="Times New Roman"/>
          <w:sz w:val="24"/>
          <w:szCs w:val="24"/>
          <w:rtl w:val="0"/>
        </w:rPr>
        <w:t xml:space="preserve"> comprises medical imaging devices, cameras, and sensors transmitting real-time neonatal data through </w:t>
      </w:r>
      <w:r w:rsidDel="00000000" w:rsidR="00000000" w:rsidRPr="00000000">
        <w:rPr>
          <w:rFonts w:ascii="Times New Roman" w:cs="Times New Roman" w:eastAsia="Times New Roman" w:hAnsi="Times New Roman"/>
          <w:b w:val="1"/>
          <w:bCs w:val="1"/>
          <w:sz w:val="24"/>
          <w:szCs w:val="24"/>
          <w:rtl w:val="0"/>
        </w:rPr>
        <w:t xml:space="preserve">IoMT gateways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HL7, DICOM, and TCP/IP</w:t>
      </w:r>
      <w:r w:rsidDel="00000000" w:rsidR="00000000" w:rsidRPr="00000000">
        <w:rPr>
          <w:rFonts w:ascii="Times New Roman" w:cs="Times New Roman" w:eastAsia="Times New Roman" w:hAnsi="Times New Roman"/>
          <w:sz w:val="24"/>
          <w:szCs w:val="24"/>
          <w:rtl w:val="0"/>
        </w:rPr>
        <w:t xml:space="preserve"> protocols. These data streams are received by the </w:t>
      </w:r>
      <w:r w:rsidDel="00000000" w:rsidR="00000000" w:rsidRPr="00000000">
        <w:rPr>
          <w:rFonts w:ascii="Times New Roman" w:cs="Times New Roman" w:eastAsia="Times New Roman" w:hAnsi="Times New Roman"/>
          <w:b w:val="1"/>
          <w:bCs w:val="1"/>
          <w:sz w:val="24"/>
          <w:szCs w:val="24"/>
          <w:rtl w:val="0"/>
        </w:rPr>
        <w:t xml:space="preserve">Application Server</w:t>
      </w:r>
      <w:r w:rsidDel="00000000" w:rsidR="00000000" w:rsidRPr="00000000">
        <w:rPr>
          <w:rFonts w:ascii="Times New Roman" w:cs="Times New Roman" w:eastAsia="Times New Roman" w:hAnsi="Times New Roman"/>
          <w:sz w:val="24"/>
          <w:szCs w:val="24"/>
          <w:rtl w:val="0"/>
        </w:rPr>
        <w:t xml:space="preserve">, an x86-based system hosting services such as </w:t>
      </w:r>
      <w:r w:rsidDel="00000000" w:rsidR="00000000" w:rsidRPr="00000000">
        <w:rPr>
          <w:rFonts w:ascii="Times New Roman" w:cs="Times New Roman" w:eastAsia="Times New Roman" w:hAnsi="Times New Roman"/>
          <w:b w:val="1"/>
          <w:bCs w:val="1"/>
          <w:sz w:val="24"/>
          <w:szCs w:val="24"/>
          <w:rtl w:val="0"/>
        </w:rPr>
        <w:t xml:space="preserve">Data Ingestion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ETL Processing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AI Model Interfaces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executes Python-based diagnostic models, feeding processed results back to the </w:t>
      </w:r>
      <w:r w:rsidDel="00000000" w:rsidR="00000000" w:rsidRPr="00000000">
        <w:rPr>
          <w:rFonts w:ascii="Times New Roman" w:cs="Times New Roman" w:eastAsia="Times New Roman" w:hAnsi="Times New Roman"/>
          <w:b w:val="1"/>
          <w:bCs w:val="1"/>
          <w:sz w:val="24"/>
          <w:szCs w:val="24"/>
          <w:rtl w:val="0"/>
        </w:rPr>
        <w:t xml:space="preserve">Web Server</w:t>
      </w:r>
      <w:r w:rsidDel="00000000" w:rsidR="00000000" w:rsidRPr="00000000">
        <w:rPr>
          <w:rFonts w:ascii="Times New Roman" w:cs="Times New Roman" w:eastAsia="Times New Roman" w:hAnsi="Times New Roman"/>
          <w:sz w:val="24"/>
          <w:szCs w:val="24"/>
          <w:rtl w:val="0"/>
        </w:rPr>
        <w:t xml:space="preserve"> for visualization. The </w:t>
      </w:r>
      <w:r w:rsidDel="00000000" w:rsidR="00000000" w:rsidRPr="00000000">
        <w:rPr>
          <w:rFonts w:ascii="Times New Roman" w:cs="Times New Roman" w:eastAsia="Times New Roman" w:hAnsi="Times New Roman"/>
          <w:b w:val="1"/>
          <w:bCs w:val="1"/>
          <w:sz w:val="24"/>
          <w:szCs w:val="24"/>
          <w:rtl w:val="0"/>
        </w:rPr>
        <w:t xml:space="preserve">Database Layer</w:t>
      </w:r>
      <w:r w:rsidDel="00000000" w:rsidR="00000000" w:rsidRPr="00000000">
        <w:rPr>
          <w:rFonts w:ascii="Times New Roman" w:cs="Times New Roman" w:eastAsia="Times New Roman" w:hAnsi="Times New Roman"/>
          <w:sz w:val="24"/>
          <w:szCs w:val="24"/>
          <w:rtl w:val="0"/>
        </w:rPr>
        <w:t xml:space="preserve"> uses PostgreSQL for storing structured datasets, logs, and user configurations, ensuring auditability and data persistence. End users, including </w:t>
      </w:r>
      <w:r w:rsidDel="00000000" w:rsidR="00000000" w:rsidRPr="00000000">
        <w:rPr>
          <w:rFonts w:ascii="Times New Roman" w:cs="Times New Roman" w:eastAsia="Times New Roman" w:hAnsi="Times New Roman"/>
          <w:b w:val="1"/>
          <w:bCs w:val="1"/>
          <w:sz w:val="24"/>
          <w:szCs w:val="24"/>
          <w:rtl w:val="0"/>
        </w:rPr>
        <w:t xml:space="preserve">clinicians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 engineers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IT personnel</w:t>
      </w:r>
      <w:r w:rsidDel="00000000" w:rsidR="00000000" w:rsidRPr="00000000">
        <w:rPr>
          <w:rFonts w:ascii="Times New Roman" w:cs="Times New Roman" w:eastAsia="Times New Roman" w:hAnsi="Times New Roman"/>
          <w:sz w:val="24"/>
          <w:szCs w:val="24"/>
          <w:rtl w:val="0"/>
        </w:rPr>
        <w:t xml:space="preserve">, access the system through web browsers in the </w:t>
      </w:r>
      <w:r w:rsidDel="00000000" w:rsidR="00000000" w:rsidRPr="00000000">
        <w:rPr>
          <w:rFonts w:ascii="Times New Roman" w:cs="Times New Roman" w:eastAsia="Times New Roman" w:hAnsi="Times New Roman"/>
          <w:b w:val="1"/>
          <w:bCs w:val="1"/>
          <w:sz w:val="24"/>
          <w:szCs w:val="24"/>
          <w:rtl w:val="0"/>
        </w:rPr>
        <w:t xml:space="preserve">Client Layer</w:t>
      </w:r>
      <w:r w:rsidDel="00000000" w:rsidR="00000000" w:rsidRPr="00000000">
        <w:rPr>
          <w:rFonts w:ascii="Times New Roman" w:cs="Times New Roman" w:eastAsia="Times New Roman" w:hAnsi="Times New Roman"/>
          <w:sz w:val="24"/>
          <w:szCs w:val="24"/>
          <w:rtl w:val="0"/>
        </w:rPr>
        <w:t xml:space="preserve">, which communicates securely via HTTP and role-based authentication. This setup enables real-time monitoring, AI-driven insights, and robust data integrity across interconnected NICU subsystems.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Development View</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TBD</w:t>
      </w: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Design Decisions</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Architecture</w:t>
      </w:r>
      <w:r w:rsidDel="00000000" w:rsidR="00000000" w:rsidRPr="00000000">
        <w:rPr>
          <w:rFonts w:ascii="Times New Roman" w:cs="Times New Roman" w:eastAsia="Times New Roman" w:hAnsi="Times New Roman"/>
          <w:sz w:val="24"/>
          <w:szCs w:val="24"/>
          <w:rtl w:val="0"/>
        </w:rPr>
        <w:t xml:space="preserve"> was chosen because it enhances modularity, readability, and maintainability of the system. By clearly separating the responsibilities of each component, it allows easier debugging, testing, and future scalability without affecting other layers.</w:t>
      </w:r>
    </w:p>
    <w:p w:rsidR="00000000" w:rsidDel="00000000" w:rsidP="00000000" w:rsidRDefault="00000000" w:rsidRPr="00000000" w14:paraId="0000007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Event-Driven Architecture</w:t>
      </w:r>
      <w:r w:rsidDel="00000000" w:rsidR="00000000" w:rsidRPr="00000000">
        <w:rPr>
          <w:rFonts w:ascii="Times New Roman" w:cs="Times New Roman" w:eastAsia="Times New Roman" w:hAnsi="Times New Roman"/>
          <w:sz w:val="24"/>
          <w:szCs w:val="24"/>
          <w:rtl w:val="0"/>
        </w:rPr>
        <w:t xml:space="preserve"> was selected to support real-time data processing with low latency and high performance. It enables asynchronous communication and loose coupling between components, which makes the system more responsive, resilient, and easier to extend as new event sources or services are added.</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Compliance and Standards</w:t>
      </w:r>
    </w:p>
    <w:p w:rsidR="00000000" w:rsidDel="00000000" w:rsidP="00000000" w:rsidRDefault="00000000" w:rsidRPr="00000000" w14:paraId="00000077">
      <w:pPr>
        <w:rPr>
          <w:rFonts w:ascii="Times New Roman" w:cs="Times New Roman" w:eastAsia="Times New Roman" w:hAnsi="Times New Roman"/>
          <w:i w:val="1"/>
          <w:iCs w:val="1"/>
          <w:sz w:val="24"/>
          <w:szCs w:val="24"/>
        </w:rPr>
      </w:pPr>
      <w:r w:rsidDel="00000000" w:rsidR="00000000" w:rsidRPr="00000000">
        <w:rPr>
          <w:rtl w:val="0"/>
        </w:rPr>
      </w:r>
    </w:p>
    <w:tbl>
      <w:tblPr>
        <w:tblStyle w:val="Table3"/>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525" w:hRule="atLeast"/>
          <w:tblHeader w:val="0"/>
        </w:trPr>
        <w:tc>
          <w:tcPr>
            <w:shd w:fill="d9d9d9" w:val="clear"/>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Standard / Regulation</w:t>
            </w:r>
          </w:p>
        </w:tc>
        <w:tc>
          <w:tcPr>
            <w:shd w:fill="d9d9d9" w:val="clear"/>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 Purpose</w:t>
            </w:r>
          </w:p>
        </w:tc>
        <w:tc>
          <w:tcPr>
            <w:shd w:fill="d9d9d9" w:val="clear"/>
            <w:tcMar>
              <w:top w:w="40.0" w:type="dxa"/>
              <w:left w:w="40.0" w:type="dxa"/>
              <w:bottom w:w="4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Applicability</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GDPR (EU 2016/679)</w:t>
            </w:r>
          </w:p>
        </w:tc>
        <w:tc>
          <w:tcP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 Data Protection Regulation. Ensures lawful, fair, and transparent processing of personal data in the EU.</w:t>
            </w:r>
          </w:p>
        </w:tc>
        <w:tc>
          <w:tcP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 for all patient data handling, anonymization, consent management, and storage.</w:t>
            </w:r>
          </w:p>
        </w:tc>
      </w:tr>
      <w:tr>
        <w:trPr>
          <w:cantSplit w:val="0"/>
          <w:trHeight w:val="1425" w:hRule="atLeast"/>
          <w:tblHeader w:val="0"/>
        </w:trPr>
        <w:tc>
          <w:tcP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27001</w:t>
            </w:r>
          </w:p>
        </w:tc>
        <w:tc>
          <w:tcP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Management Systems (ISMS).</w:t>
            </w:r>
          </w:p>
        </w:tc>
        <w:tc>
          <w:tcP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to guide secure data storage, access control, and risk management.</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27018</w:t>
            </w:r>
          </w:p>
        </w:tc>
        <w:tc>
          <w:tcPr>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Code of practice for protection of personally identifiable information (PII) in public clouds.</w:t>
            </w:r>
          </w:p>
        </w:tc>
        <w:tc>
          <w:tcPr>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Ensures cloud-based storage or processing components meet privacy protection standards.</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HL7 (Health Level Seven)</w:t>
            </w:r>
          </w:p>
        </w:tc>
        <w:tc>
          <w:tcP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standard for transfer of clinical and administrative data between software applications.</w:t>
            </w:r>
          </w:p>
        </w:tc>
        <w:tc>
          <w:tcPr>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for all clinical data communication and structuring of NICU sensor data.</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DICOM (Digital Imaging and Communications in Medicine)</w:t>
            </w:r>
          </w:p>
        </w:tc>
        <w:tc>
          <w:tcPr>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standard for handling, storing, printing, and transmitting medical imaging information.</w:t>
            </w:r>
          </w:p>
        </w:tc>
        <w:tc>
          <w:tcPr>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Applied to ensure interoperability for image data acquisition and processing.</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FHIR (Fast Healthcare Interoperability Resources)</w:t>
            </w:r>
          </w:p>
        </w:tc>
        <w:tc>
          <w:tcPr>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Modern HL7-based standard for healthcare data exchange.</w:t>
            </w:r>
          </w:p>
        </w:tc>
        <w:tc>
          <w:tcPr>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May be used to enhance interoperability with hospital information systems and AI diagnosis modules.</w:t>
            </w:r>
          </w:p>
        </w:tc>
      </w:tr>
    </w:tbl>
    <w:p w:rsidR="00000000" w:rsidDel="00000000" w:rsidP="00000000" w:rsidRDefault="00000000" w:rsidRPr="00000000" w14:paraId="0000008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color w:val="000000"/>
          <w:sz w:val="24"/>
          <w:szCs w:val="24"/>
        </w:rPr>
      </w:pPr>
      <w:bookmarkStart w:colFirst="0" w:colLast="0" w:name="_hp4lyf9sp0rl" w:id="3"/>
      <w:bookmarkEnd w:id="3"/>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09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i w:val="1"/>
          <w:iCs w:val="1"/>
          <w:sz w:val="24"/>
          <w:szCs w:val="24"/>
        </w:rPr>
      </w:pPr>
      <w:bookmarkStart w:colFirst="0" w:colLast="0" w:name="_ctseyc7j0yye" w:id="4"/>
      <w:bookmarkEnd w:id="4"/>
      <w:r w:rsidDel="00000000" w:rsidR="00000000" w:rsidRPr="00000000">
        <w:rPr>
          <w:rFonts w:ascii="Times New Roman" w:cs="Times New Roman" w:eastAsia="Times New Roman" w:hAnsi="Times New Roman"/>
          <w:color w:val="000000"/>
          <w:sz w:val="24"/>
          <w:szCs w:val="24"/>
          <w:rtl w:val="0"/>
        </w:rPr>
        <w:t xml:space="preserve">7. References</w:t>
      </w:r>
      <w:r w:rsidDel="00000000" w:rsidR="00000000" w:rsidRPr="00000000">
        <w:rPr>
          <w:rtl w:val="0"/>
        </w:rPr>
      </w:r>
    </w:p>
    <w:p w:rsidR="00000000" w:rsidDel="00000000" w:rsidP="00000000" w:rsidRDefault="00000000" w:rsidRPr="00000000" w14:paraId="0000009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