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11.11.2025</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bl>
    <w:p w:rsidR="00000000" w:rsidDel="00000000" w:rsidP="00000000" w:rsidRDefault="00000000" w:rsidRPr="00000000" w14:paraId="0000002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sdt>
      <w:sdtPr>
        <w:id w:val="-648514191"/>
        <w:docPartObj>
          <w:docPartGallery w:val="Table of Contents"/>
          <w:docPartUnique w:val="1"/>
        </w:docPartObj>
      </w:sdtPr>
      <w:sdtContent>
        <w:p w:rsidR="00000000" w:rsidDel="00000000" w:rsidP="00000000" w:rsidRDefault="00000000" w:rsidRPr="00000000" w14:paraId="0000002F">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0">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1">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2">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3.1 Logical View</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3.2 Process View</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3.3 Physical View</w:t>
            </w:r>
          </w:hyperlink>
          <w:r w:rsidDel="00000000" w:rsidR="00000000" w:rsidRPr="00000000">
            <w:rPr>
              <w:rtl w:val="0"/>
            </w:rPr>
          </w:r>
        </w:p>
        <w:p w:rsidR="00000000" w:rsidDel="00000000" w:rsidP="00000000" w:rsidRDefault="00000000" w:rsidRPr="00000000" w14:paraId="00000035">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3.4 Development View</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b w:val="0"/>
              <w:bCs w:val="0"/>
              <w:color w:val="1155cc"/>
              <w:u w:val="single"/>
            </w:rPr>
          </w:pPr>
          <w:hyperlink w:anchor="">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b w:val="0"/>
              <w:bCs w:val="0"/>
              <w:color w:val="1155cc"/>
              <w:u w:val="single"/>
            </w:rPr>
          </w:pPr>
          <w:hyperlink w:anchor="_hp4lyf9sp0rl">
            <w:r w:rsidDel="00000000" w:rsidR="00000000" w:rsidRPr="00000000">
              <w:rPr>
                <w:b w:val="0"/>
                <w:bCs w:val="0"/>
                <w:color w:val="1155cc"/>
                <w:u w:val="single"/>
                <w:rtl w:val="0"/>
              </w:rPr>
              <w:t xml:space="preserve">6. Appendix</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b w:val="0"/>
              <w:bCs w:val="0"/>
              <w:color w:val="1155cc"/>
              <w:u w:val="single"/>
            </w:rPr>
          </w:pPr>
          <w:hyperlink w:anchor="_ctseyc7j0yye">
            <w:r w:rsidDel="00000000" w:rsidR="00000000" w:rsidRPr="00000000">
              <w:rPr>
                <w:b w:val="0"/>
                <w:bCs w:val="0"/>
                <w:color w:val="1155cc"/>
                <w:u w:val="singl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defines a secure, interoperable system that unifies all NICU data sources under standardized protocols such as HL7, DICOM, and FHIR.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enables real-time data ingestion, AI-driven preprocessing, and clinical visualization to improve decision-making and patient outcomes in NICUs.</w:t>
      </w:r>
    </w:p>
    <w:p w:rsidR="00000000" w:rsidDel="00000000" w:rsidP="00000000" w:rsidRDefault="00000000" w:rsidRPr="00000000" w14:paraId="0000005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covers:</w:t>
      </w:r>
    </w:p>
    <w:p w:rsidR="00000000" w:rsidDel="00000000" w:rsidP="00000000" w:rsidRDefault="00000000" w:rsidRPr="00000000" w14:paraId="00000051">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acquisition and integration of NICU physiological, imaging, and clinical data</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AI-enhanced preprocessing pipeline for data cleaning, normalization, and standardization (HL7, DICOM, FHIR)</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data storage and web-based visualization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System Context</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 Architectural Views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Logical View</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1496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3.2 Process View</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486400" cy="37338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3.3 Physical View</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131" cy="4356181"/>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72131" cy="435618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Development View</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7688" cy="7773671"/>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57688" cy="777367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Design Decisions</w:t>
      </w:r>
    </w:p>
    <w:p w:rsidR="00000000" w:rsidDel="00000000" w:rsidP="00000000" w:rsidRDefault="00000000" w:rsidRPr="00000000" w14:paraId="000000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Architecture</w:t>
      </w:r>
      <w:r w:rsidDel="00000000" w:rsidR="00000000" w:rsidRPr="00000000">
        <w:rPr>
          <w:rFonts w:ascii="Times New Roman" w:cs="Times New Roman" w:eastAsia="Times New Roman" w:hAnsi="Times New Roman"/>
          <w:sz w:val="24"/>
          <w:szCs w:val="24"/>
          <w:rtl w:val="0"/>
        </w:rPr>
        <w:t xml:space="preserve"> was chosen because it enhances modularity, readability, and maintainability of the system. By clearly separating the responsibilities of each component, it allows easier debugging, testing, and future scalability without affecting other layers.</w:t>
      </w:r>
    </w:p>
    <w:p w:rsidR="00000000" w:rsidDel="00000000" w:rsidP="00000000" w:rsidRDefault="00000000" w:rsidRPr="00000000" w14:paraId="0000006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Event-Driven Architecture</w:t>
      </w:r>
      <w:r w:rsidDel="00000000" w:rsidR="00000000" w:rsidRPr="00000000">
        <w:rPr>
          <w:rFonts w:ascii="Times New Roman" w:cs="Times New Roman" w:eastAsia="Times New Roman" w:hAnsi="Times New Roman"/>
          <w:sz w:val="24"/>
          <w:szCs w:val="24"/>
          <w:rtl w:val="0"/>
        </w:rPr>
        <w:t xml:space="preserve"> was selected to support real-time data processing with low latency and high performance. It enables asynchronous communication and loose coupling between components, which makes the system more responsive, resilient, and easier to extend as new event sources or services are added.</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Compliance and Standards</w:t>
      </w:r>
    </w:p>
    <w:p w:rsidR="00000000" w:rsidDel="00000000" w:rsidP="00000000" w:rsidRDefault="00000000" w:rsidRPr="00000000" w14:paraId="00000071">
      <w:pPr>
        <w:rPr>
          <w:rFonts w:ascii="Times New Roman" w:cs="Times New Roman" w:eastAsia="Times New Roman" w:hAnsi="Times New Roman"/>
          <w:i w:val="1"/>
          <w:iCs w:val="1"/>
          <w:sz w:val="24"/>
          <w:szCs w:val="24"/>
        </w:rPr>
      </w:pPr>
      <w:r w:rsidDel="00000000" w:rsidR="00000000" w:rsidRPr="00000000">
        <w:rPr>
          <w:rtl w:val="0"/>
        </w:rPr>
      </w:r>
    </w:p>
    <w:tbl>
      <w:tblPr>
        <w:tblStyle w:val="Table3"/>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525" w:hRule="atLeast"/>
          <w:tblHeader w:val="0"/>
        </w:trPr>
        <w:tc>
          <w:tcPr>
            <w:shd w:fill="d9d9d9" w:val="clear"/>
            <w:tcMar>
              <w:top w:w="40.0" w:type="dxa"/>
              <w:left w:w="40.0" w:type="dxa"/>
              <w:bottom w:w="40.0" w:type="dxa"/>
              <w:right w:w="40.0" w:type="dxa"/>
            </w:tcMar>
            <w:vAlign w:val="center"/>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Standard / Regulation</w:t>
            </w:r>
          </w:p>
        </w:tc>
        <w:tc>
          <w:tcPr>
            <w:shd w:fill="d9d9d9" w:val="clear"/>
            <w:tcMar>
              <w:top w:w="40.0" w:type="dxa"/>
              <w:left w:w="40.0" w:type="dxa"/>
              <w:bottom w:w="40.0" w:type="dxa"/>
              <w:right w:w="40.0" w:type="dxa"/>
            </w:tcMar>
            <w:vAlign w:val="center"/>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 / Purpose</w:t>
            </w:r>
          </w:p>
        </w:tc>
        <w:tc>
          <w:tcPr>
            <w:shd w:fill="d9d9d9" w:val="clear"/>
            <w:tcMar>
              <w:top w:w="40.0" w:type="dxa"/>
              <w:left w:w="40.0" w:type="dxa"/>
              <w:bottom w:w="40.0" w:type="dxa"/>
              <w:right w:w="40.0" w:type="dxa"/>
            </w:tcMar>
            <w:vAlign w:val="center"/>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Applicability</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GDPR (EU 2016/679)</w:t>
            </w:r>
          </w:p>
        </w:tc>
        <w:tc>
          <w:tcPr>
            <w:tcMar>
              <w:top w:w="40.0" w:type="dxa"/>
              <w:left w:w="40.0" w:type="dxa"/>
              <w:bottom w:w="40.0" w:type="dxa"/>
              <w:right w:w="40.0" w:type="dxa"/>
            </w:tcMar>
            <w:vAlign w:val="center"/>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General Data Protection Regulation. Ensures lawful, fair, and transparent processing of personal data in the EU.</w:t>
            </w:r>
          </w:p>
        </w:tc>
        <w:tc>
          <w:tcPr>
            <w:tcMar>
              <w:top w:w="40.0" w:type="dxa"/>
              <w:left w:w="40.0" w:type="dxa"/>
              <w:bottom w:w="40.0" w:type="dxa"/>
              <w:right w:w="40.0" w:type="dxa"/>
            </w:tcMar>
            <w:vAlign w:val="center"/>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Mandatory for all patient data handling, anonymization, consent management, and storage.</w:t>
            </w:r>
          </w:p>
        </w:tc>
      </w:tr>
      <w:tr>
        <w:trPr>
          <w:cantSplit w:val="0"/>
          <w:trHeight w:val="1425" w:hRule="atLeast"/>
          <w:tblHeader w:val="0"/>
        </w:trPr>
        <w:tc>
          <w:tcPr>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27001</w:t>
            </w:r>
          </w:p>
        </w:tc>
        <w:tc>
          <w:tcPr>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Security Management Systems (ISMS).</w:t>
            </w:r>
          </w:p>
        </w:tc>
        <w:tc>
          <w:tcPr>
            <w:tcMar>
              <w:top w:w="40.0" w:type="dxa"/>
              <w:left w:w="40.0" w:type="dxa"/>
              <w:bottom w:w="40.0" w:type="dxa"/>
              <w:right w:w="40.0" w:type="dxa"/>
            </w:tcMar>
            <w:vAlign w:val="center"/>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to guide secure data storage, access control, and risk management.</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27018</w:t>
            </w:r>
          </w:p>
        </w:tc>
        <w:tc>
          <w:tcP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Code of practice for protection of personally identifiable information (PII) in public clouds.</w:t>
            </w:r>
          </w:p>
        </w:tc>
        <w:tc>
          <w:tcP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Ensures cloud-based storage or processing components meet privacy protection standards.</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HL7 (Health Level Seven)</w:t>
            </w:r>
          </w:p>
        </w:tc>
        <w:tc>
          <w:tcP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standard for transfer of clinical and administrative data between software applications.</w:t>
            </w:r>
          </w:p>
        </w:tc>
        <w:tc>
          <w:tcPr>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Used for all clinical data communication and structuring of NICU sensor data.</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DICOM (Digital Imaging and Communications in Medicine)</w:t>
            </w:r>
          </w:p>
        </w:tc>
        <w:tc>
          <w:tcPr>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International standard for handling, storing, printing, and transmitting medical imaging information.</w:t>
            </w:r>
          </w:p>
        </w:tc>
        <w:tc>
          <w:tcPr>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Applied to ensure interoperability for image data acquisition and processing.</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FHIR (Fast Healthcare Interoperability Resources)</w:t>
            </w:r>
          </w:p>
        </w:tc>
        <w:tc>
          <w:tcPr>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Modern HL7-based standard for healthcare data exchange.</w:t>
            </w:r>
          </w:p>
        </w:tc>
        <w:tc>
          <w:tcPr>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Will be used to enhance interoperability with hospital information systems and AI diagnosis modules.</w:t>
            </w:r>
          </w:p>
        </w:tc>
      </w:tr>
    </w:tbl>
    <w:p w:rsidR="00000000" w:rsidDel="00000000" w:rsidP="00000000" w:rsidRDefault="00000000" w:rsidRPr="00000000" w14:paraId="0000008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pStyle w:val="Heading2"/>
        <w:rPr>
          <w:rFonts w:ascii="Times New Roman" w:cs="Times New Roman" w:eastAsia="Times New Roman" w:hAnsi="Times New Roman"/>
          <w:color w:val="000000"/>
          <w:sz w:val="24"/>
          <w:szCs w:val="24"/>
        </w:rPr>
      </w:pPr>
      <w:bookmarkStart w:colFirst="0" w:colLast="0" w:name="_hp4lyf9sp0rl" w:id="3"/>
      <w:bookmarkEnd w:id="3"/>
      <w:r w:rsidDel="00000000" w:rsidR="00000000" w:rsidRPr="00000000">
        <w:rPr>
          <w:rFonts w:ascii="Times New Roman" w:cs="Times New Roman" w:eastAsia="Times New Roman" w:hAnsi="Times New Roman"/>
          <w:color w:val="000000"/>
          <w:sz w:val="24"/>
          <w:szCs w:val="24"/>
          <w:rtl w:val="0"/>
        </w:rPr>
        <w:t xml:space="preserve">6. Appendix</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i w:val="1"/>
          <w:iCs w:val="1"/>
          <w:sz w:val="24"/>
          <w:szCs w:val="24"/>
        </w:rPr>
      </w:pPr>
      <w:bookmarkStart w:colFirst="0" w:colLast="0" w:name="_ctseyc7j0yye" w:id="4"/>
      <w:bookmarkEnd w:id="4"/>
      <w:r w:rsidDel="00000000" w:rsidR="00000000" w:rsidRPr="00000000">
        <w:rPr>
          <w:rFonts w:ascii="Times New Roman" w:cs="Times New Roman" w:eastAsia="Times New Roman" w:hAnsi="Times New Roman"/>
          <w:color w:val="000000"/>
          <w:sz w:val="24"/>
          <w:szCs w:val="24"/>
          <w:rtl w:val="0"/>
        </w:rPr>
        <w:t xml:space="preserve">7. References</w:t>
      </w:r>
      <w:r w:rsidDel="00000000" w:rsidR="00000000" w:rsidRPr="00000000">
        <w:rPr>
          <w:rtl w:val="0"/>
        </w:rPr>
      </w:r>
    </w:p>
    <w:p w:rsidR="00000000" w:rsidDel="00000000" w:rsidP="00000000" w:rsidRDefault="00000000" w:rsidRPr="00000000" w14:paraId="0000008C">
      <w:pPr>
        <w:widowControl w:val="1"/>
        <w:numPr>
          <w:ilvl w:val="0"/>
          <w:numId w:val="2"/>
        </w:numPr>
        <w:spacing w:after="0" w:afterAutospacing="0" w:before="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Roboto" w:cs="Roboto" w:eastAsia="Roboto" w:hAnsi="Roboto"/>
          <w:b w:val="1"/>
          <w:bCs w:val="1"/>
          <w:color w:val="1f1f1f"/>
          <w:sz w:val="21"/>
          <w:szCs w:val="21"/>
          <w:highlight w:val="white"/>
          <w:rtl w:val="0"/>
        </w:rPr>
        <w:t xml:space="preserve">GDPR (EU 2016/679)</w:t>
      </w:r>
    </w:p>
    <w:p w:rsidR="00000000" w:rsidDel="00000000" w:rsidP="00000000" w:rsidRDefault="00000000" w:rsidRPr="00000000" w14:paraId="0000008D">
      <w:pPr>
        <w:widowControl w:val="1"/>
        <w:numPr>
          <w:ilvl w:val="0"/>
          <w:numId w:val="2"/>
        </w:numPr>
        <w:spacing w:after="0" w:afterAutospacing="0" w:before="0" w:line="276" w:lineRule="auto"/>
        <w:ind w:left="720" w:hanging="360"/>
        <w:jc w:val="left"/>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HL7 (Health Level Seven)</w:t>
      </w:r>
    </w:p>
    <w:p w:rsidR="00000000" w:rsidDel="00000000" w:rsidP="00000000" w:rsidRDefault="00000000" w:rsidRPr="00000000" w14:paraId="0000008E">
      <w:pPr>
        <w:widowControl w:val="1"/>
        <w:numPr>
          <w:ilvl w:val="0"/>
          <w:numId w:val="2"/>
        </w:numPr>
        <w:spacing w:after="0" w:afterAutospacing="0" w:before="0" w:line="276" w:lineRule="auto"/>
        <w:ind w:left="720" w:hanging="360"/>
        <w:jc w:val="left"/>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DICOM (Digital Imaging and Communications in Medicine)</w:t>
      </w:r>
    </w:p>
    <w:p w:rsidR="00000000" w:rsidDel="00000000" w:rsidP="00000000" w:rsidRDefault="00000000" w:rsidRPr="00000000" w14:paraId="0000008F">
      <w:pPr>
        <w:widowControl w:val="1"/>
        <w:numPr>
          <w:ilvl w:val="0"/>
          <w:numId w:val="2"/>
        </w:numPr>
        <w:spacing w:after="200" w:before="0" w:line="276" w:lineRule="auto"/>
        <w:ind w:left="720" w:hanging="360"/>
        <w:jc w:val="left"/>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FHIR (Fast Healthcare Interoperability Resources)</w:t>
      </w:r>
    </w:p>
    <w:p w:rsidR="00000000" w:rsidDel="00000000" w:rsidP="00000000" w:rsidRDefault="00000000" w:rsidRPr="00000000" w14:paraId="00000090">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