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60"/>
      </w:pPr>
      <w:r>
        <w:rPr>
          <w:b/>
          <w:bCs/>
          <w:color w:val="52514E"/>
          <w:sz w:val="24"/>
          <w:szCs w:val="24"/>
        </w:rPr>
        <w:t xml:space="preserve">DUOC UC</w:t>
      </w:r>
    </w:p>
    <w:p>
      <w:pPr>
        <w:spacing w:after="60"/>
      </w:pPr>
      <w:r>
        <w:rPr>
          <w:color w:val="52514E"/>
          <w:sz w:val="22"/>
          <w:szCs w:val="22"/>
        </w:rPr>
        <w:t xml:space="preserve">ADY1104 – Visualización de Datos</w:t>
      </w:r>
    </w:p>
    <w:p>
      <w:pPr>
        <w:spacing w:after="0"/>
      </w:pPr>
      <w:r>
        <w:rPr>
          <w:color w:val="52514E"/>
          <w:sz w:val="22"/>
          <w:szCs w:val="22"/>
        </w:rPr>
        <w:t xml:space="preserve">Evaluación Parcial 2 · Diseño de Dashboards</w:t>
      </w:r>
    </w:p>
    <w:p>
      <w:pPr>
        <w:spacing w:before="2400" w:after="120"/>
      </w:pPr>
      <w:r>
        <w:rPr>
          <w:b/>
          <w:bCs/>
          <w:color w:val="184F95"/>
          <w:sz w:val="60"/>
          <w:szCs w:val="60"/>
        </w:rPr>
        <w:t xml:space="preserve">StreamView Analytics</w:t>
      </w:r>
    </w:p>
    <w:p>
      <w:pPr>
        <w:pBdr>
          <w:bottom w:val="single" w:color="2A78D6" w:sz="12" w:space="8"/>
        </w:pBdr>
        <w:spacing w:after="240"/>
      </w:pPr>
      <w:r>
        <w:rPr>
          <w:color w:val="2A78D6"/>
          <w:sz w:val="34"/>
          <w:szCs w:val="34"/>
        </w:rPr>
        <w:t xml:space="preserve">Dashboard interactivo de Visual Analytics</w:t>
      </w:r>
    </w:p>
    <w:p>
      <w:pPr>
        <w:spacing w:after="2400"/>
      </w:pPr>
      <w:r>
        <w:rPr>
          <w:color w:val="52514E"/>
          <w:sz w:val="24"/>
          <w:szCs w:val="24"/>
        </w:rPr>
        <w:t xml:space="preserve">Diseño, implementación y justificación de la solución en Power BI para apoyar decisiones estratégicas sobre el catálogo audiovisual.</w:t>
      </w:r>
    </w:p>
    <w:p>
      <w:pPr>
        <w:tabs>
          <w:tab w:val="left" w:pos="2100"/>
        </w:tabs>
        <w:spacing w:after="220"/>
      </w:pPr>
      <w:r>
        <w:rPr>
          <w:b/>
          <w:bCs/>
          <w:color w:val="52514E"/>
        </w:rPr>
        <w:t xml:space="preserve">Integrantes:</w:t>
      </w:r>
      <w:r>
        <w:rPr>
          <w:color w:val="898781"/>
        </w:rPr>
        <w:t xml:space="preserve">	______________________________________________</w:t>
      </w:r>
    </w:p>
    <w:p>
      <w:pPr>
        <w:tabs>
          <w:tab w:val="left" w:pos="2100"/>
        </w:tabs>
        <w:spacing w:after="220"/>
      </w:pPr>
      <w:r>
        <w:rPr>
          <w:b/>
          <w:bCs/>
          <w:color w:val="52514E"/>
        </w:rPr>
        <w:t xml:space="preserve">Sección:</w:t>
      </w:r>
      <w:r>
        <w:rPr>
          <w:color w:val="898781"/>
        </w:rPr>
        <w:t xml:space="preserve">	______________________________________________</w:t>
      </w:r>
    </w:p>
    <w:p>
      <w:pPr>
        <w:tabs>
          <w:tab w:val="left" w:pos="2100"/>
        </w:tabs>
        <w:spacing w:after="220"/>
      </w:pPr>
      <w:r>
        <w:rPr>
          <w:b/>
          <w:bCs/>
          <w:color w:val="52514E"/>
        </w:rPr>
        <w:t xml:space="preserve">Docente:</w:t>
      </w:r>
      <w:r>
        <w:rPr>
          <w:color w:val="898781"/>
        </w:rPr>
        <w:t xml:space="preserve">	______________________________________________</w:t>
      </w:r>
    </w:p>
    <w:p>
      <w:pPr>
        <w:tabs>
          <w:tab w:val="left" w:pos="2100"/>
        </w:tabs>
        <w:spacing w:after="220"/>
      </w:pPr>
      <w:r>
        <w:rPr>
          <w:b/>
          <w:bCs/>
          <w:color w:val="52514E"/>
        </w:rPr>
        <w:t xml:space="preserve">Fecha:</w:t>
      </w:r>
      <w:r>
        <w:rPr>
          <w:color w:val="52514E"/>
        </w:rPr>
        <w:t xml:space="preserve">	Octubre de 2026</w:t>
      </w:r>
    </w:p>
    <w:p>
      <w:r>
        <w:br w:type="page"/>
      </w:r>
    </w:p>
    <w:p>
      <w:pPr>
        <w:pStyle w:val="Heading1"/>
      </w:pPr>
      <w:r>
        <w:t xml:space="preserve">1. Resumen ejecutivo</w:t>
      </w:r>
    </w:p>
    <w:p>
      <w:pPr>
        <w:spacing w:after="120" w:line="276"/>
        <w:jc w:val="both"/>
      </w:pPr>
      <w:r>
        <w:t xml:space="preserve">Se diseñó e implementó un dashboard interactivo en Power BI que integra los catálogos de películas y series de StreamView Analytics: </w:t>
      </w:r>
      <w:r>
        <w:rPr>
          <w:b/>
          <w:bCs/>
        </w:rPr>
        <w:t xml:space="preserve">31.991 títulos</w:t>
      </w:r>
      <w:r>
        <w:t xml:space="preserve"> (16.000 películas y 15.991 series) estrenados entre 2010 y 2025. La solución tiene cinco páginas, cada una orientada a un perfil de usuario definido en el caso: Directorio, Gerencia de Contenidos, Gerencia de Marketing y Gerencia de Adquisición.</w:t>
      </w:r>
    </w:p>
    <w:p>
      <w:pPr>
        <w:spacing w:after="120" w:line="276"/>
        <w:jc w:val="both"/>
      </w:pPr>
      <w:r>
        <w:t xml:space="preserve">Cada gráfico se titula con su </w:t>
      </w:r>
      <w:r>
        <w:rPr>
          <w:b/>
          <w:bCs/>
        </w:rPr>
        <w:t xml:space="preserve">hallazgo clave</w:t>
      </w:r>
      <w:r>
        <w:t xml:space="preserve">, calculado con DAX y recalculado según los filtros aplicados. Así la lectura es inmediata y el mensaje siempre coincide con los datos visibles.</w:t>
      </w:r>
    </w:p>
    <w:p>
      <w:pPr>
        <w:pStyle w:val="Heading3"/>
      </w:pPr>
      <w:r>
        <w:t xml:space="preserve">Principales hallazgos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/>
      </w:r>
      <w:r>
        <w:rPr>
          <w:b/>
          <w:bCs/>
        </w:rPr>
        <w:t xml:space="preserve">Catálogo equilibrado:</w:t>
      </w:r>
      <w:r>
        <w:t xml:space="preserve"> 50% películas y 50% series. Drama está presente en el 46% de los títulos y Comedia, en el 28%.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/>
      </w:r>
      <w:r>
        <w:rPr>
          <w:b/>
          <w:bCs/>
        </w:rPr>
        <w:t xml:space="preserve">Concentración geográfica e idiomática:</w:t>
      </w:r>
      <w:r>
        <w:t xml:space="preserve"> Estados Unidos participa en el 34% de los títulos (3,8 veces el volumen de Japón) y el inglés concentra el 44%.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/>
      </w:r>
      <w:r>
        <w:rPr>
          <w:b/>
          <w:bCs/>
        </w:rPr>
        <w:t xml:space="preserve">Popularidad muy concentrada:</w:t>
      </w:r>
      <w:r>
        <w:t xml:space="preserve"> el título más popular multiplica por 291 la mediana del catálogo. Las series tienen 3,3 veces la popularidad mediana de las películas.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/>
      </w:r>
      <w:r>
        <w:rPr>
          <w:b/>
          <w:bCs/>
        </w:rPr>
        <w:t xml:space="preserve">Excelencia escasa:</w:t>
      </w:r>
      <w:r>
        <w:t xml:space="preserve"> solo 157 de 11.805 títulos evaluados (≥100 votos) superan una calificación de 8,5. Nota y popularidad tienen una relación moderada (r = 0,46).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/>
      </w:r>
      <w:r>
        <w:rPr>
          <w:b/>
          <w:bCs/>
        </w:rPr>
        <w:t xml:space="preserve">Rentabilidad:</w:t>
      </w:r>
      <w:r>
        <w:t xml:space="preserve"> el ROI global de las películas es 2,9x y el mediano, 1,7x. El 63,7% recupera su inversión. Los mayores retornos provienen de presupuestos bajos (mediana de US$113 mil frente a US$15,8 M del total).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/>
      </w:r>
      <w:r>
        <w:rPr>
          <w:b/>
          <w:bCs/>
        </w:rPr>
        <w:t xml:space="preserve">Oportunidades:</w:t>
      </w:r>
      <w:r>
        <w:t xml:space="preserve"> China lidera en popularidad mediana (1,6 veces Estados Unidos), Documental es el género más rentable (ROI mediano 2,8x) y 516 títulos recientes cumplen los criterios de campaña.</w:t>
      </w:r>
    </w:p>
    <w:p>
      <w:pPr>
        <w:pStyle w:val="Heading3"/>
      </w:pPr>
      <w:r>
        <w:t xml:space="preserve">Recomendaciones preliminares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/>
      </w:r>
      <w:r>
        <w:rPr>
          <w:b/>
          <w:bCs/>
        </w:rPr>
        <w:t xml:space="preserve">Adquisición:</w:t>
      </w:r>
      <w:r>
        <w:t xml:space="preserve"> priorizar géneros que superan la media en popularidad y calificación (Infantil, Reality, Acción y aventura, Ciencia ficción y fantasía) y los documentales, por su retorno.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/>
      </w:r>
      <w:r>
        <w:rPr>
          <w:b/>
          <w:bCs/>
        </w:rPr>
        <w:t xml:space="preserve">Mercados:</w:t>
      </w:r>
      <w:r>
        <w:t xml:space="preserve"> explorar contenido de China, Corea del Sur y Japón, cuya popularidad mediana supera la de los mayores productores occidentales.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/>
      </w:r>
      <w:r>
        <w:rPr>
          <w:b/>
          <w:bCs/>
        </w:rPr>
        <w:t xml:space="preserve">Marketing:</w:t>
      </w:r>
      <w:r>
        <w:t xml:space="preserve"> usar el listado de candidatos a campaña (estrenos recientes, bien evaluados y populares) como base del calendario promocional.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/>
      </w:r>
      <w:r>
        <w:rPr>
          <w:b/>
          <w:bCs/>
        </w:rPr>
        <w:t xml:space="preserve">Inversión:</w:t>
      </w:r>
      <w:r>
        <w:t xml:space="preserve"> el presupuesto explica solo parcialmente los ingresos (r = 0,66). Las producciones de bajo presupuesto con buena recepción son una alternativa de alto retorno.</w:t>
      </w:r>
    </w:p>
    <w:p>
      <w:pPr>
        <w:pStyle w:val="Heading1"/>
      </w:pPr>
      <w:r>
        <w:t xml:space="preserve">2. Descripción de la solución</w:t>
      </w:r>
    </w:p>
    <w:p>
      <w:pPr>
        <w:pStyle w:val="Heading2"/>
      </w:pPr>
      <w:r>
        <w:t xml:space="preserve">2.1 Páginas y audiencias</w:t>
      </w:r>
    </w:p>
    <w:tbl>
      <w:tblPr>
        <w:tblW w:type="dxa" w:w="9404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2000"/>
        <w:gridCol w:w="3104"/>
        <w:gridCol w:w="4300"/>
      </w:tblGrid>
      <w:tr>
        <w:trPr>
          <w:cantSplit/>
          <w:tblHeader/>
        </w:trPr>
        <w:tc>
          <w:tcPr>
            <w:tcW w:type="dxa" w:w="2000"/>
            <w:shd w:fill="DCE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2"/>
            </w:pPr>
            <w:r>
              <w:rPr>
                <w:b/>
                <w:bCs/>
                <w:color w:val="184F95"/>
                <w:sz w:val="19"/>
                <w:szCs w:val="19"/>
              </w:rPr>
              <w:t xml:space="preserve">Página</w:t>
            </w:r>
          </w:p>
        </w:tc>
        <w:tc>
          <w:tcPr>
            <w:tcW w:type="dxa" w:w="3104"/>
            <w:shd w:fill="DCE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2"/>
            </w:pPr>
            <w:r>
              <w:rPr>
                <w:b/>
                <w:bCs/>
                <w:color w:val="184F95"/>
                <w:sz w:val="19"/>
                <w:szCs w:val="19"/>
              </w:rPr>
              <w:t xml:space="preserve">Audiencia</w:t>
            </w:r>
          </w:p>
        </w:tc>
        <w:tc>
          <w:tcPr>
            <w:tcW w:type="dxa" w:w="4300"/>
            <w:shd w:fill="DCE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2"/>
            </w:pPr>
            <w:r>
              <w:rPr>
                <w:b/>
                <w:bCs/>
                <w:color w:val="184F95"/>
                <w:sz w:val="19"/>
                <w:szCs w:val="19"/>
              </w:rPr>
              <w:t xml:space="preserve">Pregunta guía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Resumen Ejecutivo</w:t>
            </w:r>
          </w:p>
        </w:tc>
        <w:tc>
          <w:tcPr>
            <w:tcW w:type="dxa" w:w="310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Directorio y Gerencia General</w:t>
            </w:r>
          </w:p>
        </w:tc>
        <w:tc>
          <w:tcPr>
            <w:tcW w:type="dxa" w:w="4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¿Cómo está compuesto el catálogo y cómo ha evolucionado?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Análisis del Catálogo</w:t>
            </w:r>
          </w:p>
        </w:tc>
        <w:tc>
          <w:tcPr>
            <w:tcW w:type="dxa" w:w="310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Gerencia de Contenidos y Producto</w:t>
            </w:r>
          </w:p>
        </w:tc>
        <w:tc>
          <w:tcPr>
            <w:tcW w:type="dxa" w:w="4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¿Qué géneros, idiomas y talentos componen la oferta?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Popularidad y Valoración</w:t>
            </w:r>
          </w:p>
        </w:tc>
        <w:tc>
          <w:tcPr>
            <w:tcW w:type="dxa" w:w="310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Gerencia de Contenidos y Marketing</w:t>
            </w:r>
          </w:p>
        </w:tc>
        <w:tc>
          <w:tcPr>
            <w:tcW w:type="dxa" w:w="4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¿Qué contenidos destacan y qué los caracteriza?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Rentabilidad de Películas</w:t>
            </w:r>
          </w:p>
        </w:tc>
        <w:tc>
          <w:tcPr>
            <w:tcW w:type="dxa" w:w="310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Directorio y Gerencia de Adquisición</w:t>
            </w:r>
          </w:p>
        </w:tc>
        <w:tc>
          <w:tcPr>
            <w:tcW w:type="dxa" w:w="4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¿Qué películas retornan más que su inversión?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Estrategia y Marketing</w:t>
            </w:r>
          </w:p>
        </w:tc>
        <w:tc>
          <w:tcPr>
            <w:tcW w:type="dxa" w:w="310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Gerencia de Marketing y Adquisición</w:t>
            </w:r>
          </w:p>
        </w:tc>
        <w:tc>
          <w:tcPr>
            <w:tcW w:type="dxa" w:w="4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¿Qué priorizar en adquisiciones y campañas?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2.2 Interacción y navegación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/>
      </w:r>
      <w:r>
        <w:rPr>
          <w:b/>
          <w:bCs/>
        </w:rPr>
        <w:t xml:space="preserve">Navegador de páginas</w:t>
      </w:r>
      <w:r>
        <w:t xml:space="preserve"> en la parte superior de cada página.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/>
      </w:r>
      <w:r>
        <w:rPr>
          <w:b/>
          <w:bCs/>
        </w:rPr>
        <w:t xml:space="preserve">Segmentadores sincronizados</w:t>
      </w:r>
      <w:r>
        <w:t xml:space="preserve"> de tipo, año, género, país e idioma: un filtro aplicado en una página se mantiene en las demás.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/>
      </w:r>
      <w:r>
        <w:rPr>
          <w:b/>
          <w:bCs/>
        </w:rPr>
        <w:t xml:space="preserve">Filtrado cruzado:</w:t>
      </w:r>
      <w:r>
        <w:t xml:space="preserve"> al hacer clic en una barra o punto se filtran los demás gráficos de la página.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/>
      </w:r>
      <w:r>
        <w:rPr>
          <w:b/>
          <w:bCs/>
        </w:rPr>
        <w:t xml:space="preserve">Tooltips</w:t>
      </w:r>
      <w:r>
        <w:t xml:space="preserve"> con métricas complementarias (por ejemplo, presupuesto y ROI en el ranking de ingresos).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/>
      </w:r>
      <w:r>
        <w:rPr>
          <w:b/>
          <w:bCs/>
        </w:rPr>
        <w:t xml:space="preserve">Pie de alcance dinámico</w:t>
      </w:r>
      <w:r>
        <w:t xml:space="preserve"> en cada página, con el número de títulos, el período y la fuente según los filtros (regla de negocio 7).</w:t>
      </w:r>
    </w:p>
    <w:p>
      <w:pPr>
        <w:pStyle w:val="Heading2"/>
      </w:pPr>
      <w:r>
        <w:t xml:space="preserve">2.3 Archivos entregados</w:t>
      </w:r>
    </w:p>
    <w:tbl>
      <w:tblPr>
        <w:tblW w:type="dxa" w:w="9404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3500"/>
        <w:gridCol w:w="5904"/>
      </w:tblGrid>
      <w:tr>
        <w:trPr>
          <w:cantSplit/>
          <w:tblHeader/>
        </w:trPr>
        <w:tc>
          <w:tcPr>
            <w:tcW w:type="dxa" w:w="3500"/>
            <w:shd w:fill="DCE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2"/>
            </w:pPr>
            <w:r>
              <w:rPr>
                <w:b/>
                <w:bCs/>
                <w:color w:val="184F95"/>
                <w:sz w:val="19"/>
                <w:szCs w:val="19"/>
              </w:rPr>
              <w:t xml:space="preserve">Archivo</w:t>
            </w:r>
          </w:p>
        </w:tc>
        <w:tc>
          <w:tcPr>
            <w:tcW w:type="dxa" w:w="5904"/>
            <w:shd w:fill="DCE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2"/>
            </w:pPr>
            <w:r>
              <w:rPr>
                <w:b/>
                <w:bCs/>
                <w:color w:val="184F95"/>
                <w:sz w:val="19"/>
                <w:szCs w:val="19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3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StreamView_Dashboard_EV2.pbix</w:t>
            </w:r>
          </w:p>
        </w:tc>
        <w:tc>
          <w:tcPr>
            <w:tcW w:type="dxa" w:w="590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Dashboard para presentar. Incluye los datos cargados.</w:t>
            </w:r>
          </w:p>
        </w:tc>
      </w:tr>
      <w:tr>
        <w:trPr>
          <w:cantSplit/>
        </w:trPr>
        <w:tc>
          <w:tcPr>
            <w:tcW w:type="dxa" w:w="3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PowerBI/StreamView.pbip</w:t>
            </w:r>
          </w:p>
        </w:tc>
        <w:tc>
          <w:tcPr>
            <w:tcW w:type="dxa" w:w="590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El mismo informe en formato proyecto (archivos de texto), útil para control de versiones.</w:t>
            </w:r>
          </w:p>
        </w:tc>
      </w:tr>
      <w:tr>
        <w:trPr>
          <w:cantSplit/>
        </w:trPr>
        <w:tc>
          <w:tcPr>
            <w:tcW w:type="dxa" w:w="3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Datos/*.csv</w:t>
            </w:r>
          </w:p>
        </w:tc>
        <w:tc>
          <w:tcPr>
            <w:tcW w:type="dxa" w:w="590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Fuentes oficiales sin modificar (extraídas de Data_Movies.zip).</w:t>
            </w:r>
          </w:p>
        </w:tc>
      </w:tr>
      <w:tr>
        <w:trPr>
          <w:cantSplit/>
        </w:trPr>
        <w:tc>
          <w:tcPr>
            <w:tcW w:type="dxa" w:w="3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PowerBI/capturas/</w:t>
            </w:r>
          </w:p>
        </w:tc>
        <w:tc>
          <w:tcPr>
            <w:tcW w:type="dxa" w:w="590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Imagen de cada página del dashboard.</w:t>
            </w:r>
          </w:p>
        </w:tc>
      </w:tr>
    </w:tbl>
    <w:p>
      <w:pPr>
        <w:spacing w:after="120"/>
      </w:pPr>
    </w:p>
    <w:p>
      <w:pPr>
        <w:spacing w:after="120" w:line="276"/>
        <w:jc w:val="both"/>
      </w:pPr>
      <w:r>
        <w:t xml:space="preserve">Si se mueve la carpeta del proyecto, basta con actualizar el parámetro </w:t>
      </w:r>
      <w:r>
        <w:rPr>
          <w:b/>
          <w:bCs/>
        </w:rPr>
        <w:t xml:space="preserve">RutaDatos</w:t>
      </w:r>
      <w:r>
        <w:t xml:space="preserve"> (Transformar datos → Editar parámetros) con la nueva ruta de la carpeta Datos y presionar Actualizar.</w:t>
      </w:r>
    </w:p>
    <w:p>
      <w:pPr>
        <w:pStyle w:val="Heading1"/>
      </w:pPr>
      <w:r>
        <w:t xml:space="preserve">3. Modelo de datos</w:t>
      </w:r>
    </w:p>
    <w:p>
      <w:pPr>
        <w:spacing w:after="120" w:line="276"/>
        <w:jc w:val="both"/>
      </w:pPr>
      <w:r>
        <w:t xml:space="preserve">Se construyó un </w:t>
      </w:r>
      <w:r>
        <w:rPr>
          <w:b/>
          <w:bCs/>
        </w:rPr>
        <w:t xml:space="preserve">modelo en estrella</w:t>
      </w:r>
      <w:r>
        <w:t xml:space="preserve"> con una tabla de hechos que integra películas y series, cuatro tablas puente para los campos que contienen varios valores separados por comas y una tabla calendario.</w:t>
      </w:r>
    </w:p>
    <w:tbl>
      <w:tblPr>
        <w:tblW w:type="dxa" w:w="9404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700"/>
        <w:gridCol w:w="1700"/>
        <w:gridCol w:w="3604"/>
        <w:gridCol w:w="2400"/>
      </w:tblGrid>
      <w:tr>
        <w:trPr>
          <w:cantSplit/>
          <w:tblHeader/>
        </w:trPr>
        <w:tc>
          <w:tcPr>
            <w:tcW w:type="dxa" w:w="1700"/>
            <w:shd w:fill="DCE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2"/>
            </w:pPr>
            <w:r>
              <w:rPr>
                <w:b/>
                <w:bCs/>
                <w:color w:val="184F95"/>
                <w:sz w:val="19"/>
                <w:szCs w:val="19"/>
              </w:rPr>
              <w:t xml:space="preserve">Tabla</w:t>
            </w:r>
          </w:p>
        </w:tc>
        <w:tc>
          <w:tcPr>
            <w:tcW w:type="dxa" w:w="1700"/>
            <w:shd w:fill="DCE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2"/>
            </w:pPr>
            <w:r>
              <w:rPr>
                <w:b/>
                <w:bCs/>
                <w:color w:val="184F95"/>
                <w:sz w:val="19"/>
                <w:szCs w:val="19"/>
              </w:rPr>
              <w:t xml:space="preserve">Rol</w:t>
            </w:r>
          </w:p>
        </w:tc>
        <w:tc>
          <w:tcPr>
            <w:tcW w:type="dxa" w:w="3604"/>
            <w:shd w:fill="DCE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2"/>
            </w:pPr>
            <w:r>
              <w:rPr>
                <w:b/>
                <w:bCs/>
                <w:color w:val="184F95"/>
                <w:sz w:val="19"/>
                <w:szCs w:val="19"/>
              </w:rPr>
              <w:t xml:space="preserve">Contenido</w:t>
            </w:r>
          </w:p>
        </w:tc>
        <w:tc>
          <w:tcPr>
            <w:tcW w:type="dxa" w:w="2400"/>
            <w:shd w:fill="DCE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2"/>
            </w:pPr>
            <w:r>
              <w:rPr>
                <w:b/>
                <w:bCs/>
                <w:color w:val="184F95"/>
                <w:sz w:val="19"/>
                <w:szCs w:val="19"/>
              </w:rPr>
              <w:t xml:space="preserve">Relación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Contenido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Hechos</w:t>
            </w:r>
          </w:p>
        </w:tc>
        <w:tc>
          <w:tcPr>
            <w:tcW w:type="dxa" w:w="360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Un registro por título: tipo, título, año, idioma, popularidad, votos, calificación, presupuesto, ingresos, ROI.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Centro del modelo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Genero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Puente</w:t>
            </w:r>
          </w:p>
        </w:tc>
        <w:tc>
          <w:tcPr>
            <w:tcW w:type="dxa" w:w="360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Una fila por título y género.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N:1 con Contenido, bidireccional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Pais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Puente</w:t>
            </w:r>
          </w:p>
        </w:tc>
        <w:tc>
          <w:tcPr>
            <w:tcW w:type="dxa" w:w="360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Una fila por título y país productor.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N:1 con Contenido, bidireccional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Reparto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Puente</w:t>
            </w:r>
          </w:p>
        </w:tc>
        <w:tc>
          <w:tcPr>
            <w:tcW w:type="dxa" w:w="360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Una fila por título y actor del reparto principal.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N:1 con Contenido, bidireccional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Direccion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Puente</w:t>
            </w:r>
          </w:p>
        </w:tc>
        <w:tc>
          <w:tcPr>
            <w:tcW w:type="dxa" w:w="360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Una fila por título y director.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N:1 con Contenido, bidireccional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Calendario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Dimensión</w:t>
            </w:r>
          </w:p>
        </w:tc>
        <w:tc>
          <w:tcPr>
            <w:tcW w:type="dxa" w:w="360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Fechas continuas con año, mes y trimestre.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1:N con Contenido (fecha de incorporación)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Medidas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Medidas</w:t>
            </w:r>
          </w:p>
        </w:tc>
        <w:tc>
          <w:tcPr>
            <w:tcW w:type="dxa" w:w="360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48 medidas DAX organizadas en carpetas.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Sin relaciones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/>
      </w:r>
      <w:r>
        <w:rPr>
          <w:b/>
          <w:bCs/>
        </w:rPr>
        <w:t xml:space="preserve">Clave única ContenidoID:</w:t>
      </w:r>
      <w:r>
        <w:t xml:space="preserve"> combina el tipo y el identificador original (P-10192, S-33238), porque el show_id de TMDB puede repetirse entre películas y series.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/>
      </w:r>
      <w:r>
        <w:rPr>
          <w:b/>
          <w:bCs/>
        </w:rPr>
        <w:t xml:space="preserve">Tablas puente:</w:t>
      </w:r>
      <w:r>
        <w:t xml:space="preserve"> separar géneros, países, actores y directores permite contar cada valor sin duplicar títulos. Las relaciones bidireccionales hacen que un filtro de género o país filtre todo el informe.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/>
      </w:r>
      <w:r>
        <w:rPr>
          <w:b/>
          <w:bCs/>
        </w:rPr>
        <w:t xml:space="preserve">Sin fechas automáticas:</w:t>
      </w:r>
      <w:r>
        <w:t xml:space="preserve"> se desactivó la inteligencia de tiempo automática de Power BI y se usa una tabla Calendario propia, marcada como tabla de fechas.</w:t>
      </w:r>
    </w:p>
    <w:p>
      <w:pPr>
        <w:pStyle w:val="Heading1"/>
      </w:pPr>
      <w:r>
        <w:t xml:space="preserve">4. Calidad de datos y transformaciones</w:t>
      </w:r>
    </w:p>
    <w:p>
      <w:pPr>
        <w:spacing w:after="120" w:line="276"/>
        <w:jc w:val="both"/>
      </w:pPr>
      <w:r>
        <w:t xml:space="preserve">Antes de diseñar las visualizaciones se revisó la calidad de ambos conjuntos de datos. Todas las transformaciones se realizaron en Power Query, documentadas paso a paso en el propio modelo, sin modificar los archivos originales.</w:t>
      </w:r>
    </w:p>
    <w:tbl>
      <w:tblPr>
        <w:tblW w:type="dxa" w:w="9404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4402"/>
        <w:gridCol w:w="5002"/>
      </w:tblGrid>
      <w:tr>
        <w:trPr>
          <w:cantSplit/>
          <w:tblHeader/>
        </w:trPr>
        <w:tc>
          <w:tcPr>
            <w:tcW w:type="dxa" w:w="4402"/>
            <w:shd w:fill="DCE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52"/>
            </w:pPr>
            <w:r>
              <w:rPr>
                <w:b/>
                <w:bCs/>
                <w:color w:val="184F95"/>
                <w:sz w:val="19"/>
                <w:szCs w:val="19"/>
              </w:rPr>
              <w:t xml:space="preserve">Hallazgo</w:t>
            </w:r>
          </w:p>
        </w:tc>
        <w:tc>
          <w:tcPr>
            <w:tcW w:type="dxa" w:w="5002"/>
            <w:shd w:fill="DCE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52"/>
            </w:pPr>
            <w:r>
              <w:rPr>
                <w:b/>
                <w:bCs/>
                <w:color w:val="184F95"/>
                <w:sz w:val="19"/>
                <w:szCs w:val="19"/>
              </w:rPr>
              <w:t xml:space="preserve">Decisión adoptada</w:t>
            </w:r>
          </w:p>
        </w:tc>
      </w:tr>
      <w:tr>
        <w:trPr>
          <w:cantSplit/>
        </w:trPr>
        <w:tc>
          <w:tcPr>
            <w:tcW w:type="dxa" w:w="440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La variable rating es idéntica a vote_average en el 100% de los registros (no es la clasificación por edad que indica el diccionario).</w:t>
            </w:r>
          </w:p>
        </w:tc>
        <w:tc>
          <w:tcPr>
            <w:tcW w:type="dxa" w:w="500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Se descarta. Los KPIs de clasificación etaria no se pueden construir y la limitación se declara.</w:t>
            </w:r>
          </w:p>
        </w:tc>
      </w:tr>
      <w:tr>
        <w:trPr>
          <w:cantSplit/>
        </w:trPr>
        <w:tc>
          <w:tcPr>
            <w:tcW w:type="dxa" w:w="440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duration está 100% vacía en películas y en series siempre indica “1 Seasons”.</w:t>
            </w:r>
          </w:p>
        </w:tc>
        <w:tc>
          <w:tcPr>
            <w:tcW w:type="dxa" w:w="500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Se descarta por no aportar información.</w:t>
            </w:r>
          </w:p>
        </w:tc>
      </w:tr>
      <w:tr>
        <w:trPr>
          <w:cantSplit/>
        </w:trPr>
        <w:tc>
          <w:tcPr>
            <w:tcW w:type="dxa" w:w="440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9 show_id duplicados en series (mismo título, distinta popularidad).</w:t>
            </w:r>
          </w:p>
        </w:tc>
        <w:tc>
          <w:tcPr>
            <w:tcW w:type="dxa" w:w="500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Se conserva la primera ocurrencia.</w:t>
            </w:r>
          </w:p>
        </w:tc>
      </w:tr>
      <w:tr>
        <w:trPr>
          <w:cantSplit/>
        </w:trPr>
        <w:tc>
          <w:tcPr>
            <w:tcW w:type="dxa" w:w="440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budget y revenue con valor 0 representan datos faltantes. Existen presupuestos atípicos (por ejemplo, US$1).</w:t>
            </w:r>
          </w:p>
        </w:tc>
        <w:tc>
          <w:tcPr>
            <w:tcW w:type="dxa" w:w="500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Se convierten a vacío. Los indicadores financieros consideran solo películas con presupuesto e ingresos ≥ US$10.000: 3.492 de 16.000 (22%).</w:t>
            </w:r>
          </w:p>
        </w:tc>
      </w:tr>
      <w:tr>
        <w:trPr>
          <w:cantSplit/>
        </w:trPr>
        <w:tc>
          <w:tcPr>
            <w:tcW w:type="dxa" w:w="440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vote_average = 0 con 0 votos significa “sin evaluar”, no una nota de 0.</w:t>
            </w:r>
          </w:p>
        </w:tc>
        <w:tc>
          <w:tcPr>
            <w:tcW w:type="dxa" w:w="500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La calificación queda vacía cuando no hay votos.</w:t>
            </w:r>
          </w:p>
        </w:tc>
      </w:tr>
      <w:tr>
        <w:trPr>
          <w:cantSplit/>
        </w:trPr>
        <w:tc>
          <w:tcPr>
            <w:tcW w:type="dxa" w:w="440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Las notas con pocos votos son poco confiables (la mediana de votos en series es 4).</w:t>
            </w:r>
          </w:p>
        </w:tc>
        <w:tc>
          <w:tcPr>
            <w:tcW w:type="dxa" w:w="500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Los rankings de mejor evaluados exigen ≥100 votos (columna Evaluación Confiable).</w:t>
            </w:r>
          </w:p>
        </w:tc>
      </w:tr>
      <w:tr>
        <w:trPr>
          <w:cantSplit/>
        </w:trPr>
        <w:tc>
          <w:tcPr>
            <w:tcW w:type="dxa" w:w="440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El año de incorporación coincide con el de estreno y el extracto trae 1.000 películas y 1.000 series por año.</w:t>
            </w:r>
          </w:p>
        </w:tc>
        <w:tc>
          <w:tcPr>
            <w:tcW w:type="dxa" w:w="500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Se declara que el volumen anual no refleja una tendencia real. Las tendencias se analizan con popularidad, calificación y composición.</w:t>
            </w:r>
          </w:p>
        </w:tc>
      </w:tr>
      <w:tr>
        <w:trPr>
          <w:cantSplit/>
        </w:trPr>
        <w:tc>
          <w:tcPr>
            <w:tcW w:type="dxa" w:w="440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Géneros, países e idiomas vienen en inglés o como códigos ISO.</w:t>
            </w:r>
          </w:p>
        </w:tc>
        <w:tc>
          <w:tcPr>
            <w:tcW w:type="dxa" w:w="500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Se traducen al español con diccionarios en Power Query. “Unknown” se trata como dato faltante.</w:t>
            </w:r>
          </w:p>
        </w:tc>
      </w:tr>
      <w:tr>
        <w:trPr>
          <w:cantSplit/>
        </w:trPr>
        <w:tc>
          <w:tcPr>
            <w:tcW w:type="dxa" w:w="440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TMDB usa taxonomías de género distintas para cine y TV (por ejemplo, “Action” y “Action &amp; Adventure”).</w:t>
            </w:r>
          </w:p>
        </w:tc>
        <w:tc>
          <w:tcPr>
            <w:tcW w:type="dxa" w:w="500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Se mantienen y se advierte en los gráficos que comparan ambos tipos (regla de negocio 2).</w:t>
            </w:r>
          </w:p>
        </w:tc>
      </w:tr>
    </w:tbl>
    <w:p>
      <w:pPr>
        <w:pStyle w:val="Heading1"/>
      </w:pPr>
      <w:r>
        <w:t xml:space="preserve">5. Indicadores clave (KPIs)</w:t>
      </w:r>
    </w:p>
    <w:p>
      <w:pPr>
        <w:spacing w:after="120" w:line="276"/>
        <w:jc w:val="both"/>
      </w:pPr>
      <w:r>
        <w:t xml:space="preserve">Los indicadores solicitados en el caso se implementaron como medidas DAX explícitas, con formato y descripción, para garantizar una única versión de cada indicador en toda la organización (Problema 1 del caso).</w:t>
      </w:r>
    </w:p>
    <w:tbl>
      <w:tblPr>
        <w:tblW w:type="dxa" w:w="9404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900"/>
        <w:gridCol w:w="4504"/>
        <w:gridCol w:w="3000"/>
      </w:tblGrid>
      <w:tr>
        <w:trPr>
          <w:cantSplit/>
          <w:tblHeader/>
        </w:trPr>
        <w:tc>
          <w:tcPr>
            <w:tcW w:type="dxa" w:w="1900"/>
            <w:shd w:fill="DCE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2"/>
            </w:pPr>
            <w:r>
              <w:rPr>
                <w:b/>
                <w:bCs/>
                <w:color w:val="184F95"/>
                <w:sz w:val="19"/>
                <w:szCs w:val="19"/>
              </w:rPr>
              <w:t xml:space="preserve">Grupo</w:t>
            </w:r>
          </w:p>
        </w:tc>
        <w:tc>
          <w:tcPr>
            <w:tcW w:type="dxa" w:w="4504"/>
            <w:shd w:fill="DCE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2"/>
            </w:pPr>
            <w:r>
              <w:rPr>
                <w:b/>
                <w:bCs/>
                <w:color w:val="184F95"/>
                <w:sz w:val="19"/>
                <w:szCs w:val="19"/>
              </w:rPr>
              <w:t xml:space="preserve">Medidas</w:t>
            </w:r>
          </w:p>
        </w:tc>
        <w:tc>
          <w:tcPr>
            <w:tcW w:type="dxa" w:w="3000"/>
            <w:shd w:fill="DCE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2"/>
            </w:pPr>
            <w:r>
              <w:rPr>
                <w:b/>
                <w:bCs/>
                <w:color w:val="184F95"/>
                <w:sz w:val="19"/>
                <w:szCs w:val="19"/>
              </w:rPr>
              <w:t xml:space="preserve">Observación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Catálogo</w:t>
            </w:r>
          </w:p>
        </w:tc>
        <w:tc>
          <w:tcPr>
            <w:tcW w:type="dxa" w:w="450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Total Contenidos, Total Películas, Total Series, Países Representados, Idiomas Disponibles, Géneros Distintos, Contenidos Acumulados.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Respetan los filtros de tipo, año, género, país e idioma.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Popularidad</w:t>
            </w:r>
          </w:p>
        </w:tc>
        <w:tc>
          <w:tcPr>
            <w:tcW w:type="dxa" w:w="450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Popularidad Mediana, Popularidad Promedio, Top 10 más populares.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La mediana es la medida principal por la presencia de valores extremos.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Valoración</w:t>
            </w:r>
          </w:p>
        </w:tc>
        <w:tc>
          <w:tcPr>
            <w:tcW w:type="dxa" w:w="450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Calificación Promedio, Calificación Ponderada por votos, Calificación Confiable (≥100 votos), Total Votos, % Evaluación Confiable.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Escala 0–10 (regla de negocio 4).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Finanzas (películas)</w:t>
            </w:r>
          </w:p>
        </w:tc>
        <w:tc>
          <w:tcPr>
            <w:tcW w:type="dxa" w:w="450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Presupuesto Total, Ingresos Totales, ROI = Ingresos / Presupuesto, ROI Mediano, % Películas Rentables, Cobertura Financiera.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Solo películas con datos válidos (reglas de negocio 3 y 6).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Temporales y geográficos</w:t>
            </w:r>
          </w:p>
        </w:tc>
        <w:tc>
          <w:tcPr>
            <w:tcW w:type="dxa" w:w="450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Contenidos por año, evolución acumulada, títulos y popularidad por país e idioma.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Se apoyan en las tablas Calendario y Pais.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Textos dinámicos</w:t>
            </w:r>
          </w:p>
        </w:tc>
        <w:tc>
          <w:tcPr>
            <w:tcW w:type="dxa" w:w="450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Texto Alcance, Texto Alcance Financiero y 19 títulos con hallazgo clave.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Indican período, alcance y conclusión de cada vista.</w:t>
            </w:r>
          </w:p>
        </w:tc>
      </w:tr>
    </w:tbl>
    <w:p>
      <w:pPr>
        <w:pStyle w:val="Heading1"/>
      </w:pPr>
      <w:r>
        <w:t xml:space="preserve">6. Títulos con hallazgo clave</w:t>
      </w:r>
    </w:p>
    <w:p>
      <w:pPr>
        <w:spacing w:after="120" w:line="276"/>
        <w:jc w:val="both"/>
      </w:pPr>
      <w:r>
        <w:t xml:space="preserve">En lugar de títulos descriptivos (“Top 10 países productores”), cada gráfico presenta su </w:t>
      </w:r>
      <w:r>
        <w:rPr>
          <w:b/>
          <w:bCs/>
        </w:rPr>
        <w:t xml:space="preserve">conclusión principal</w:t>
      </w:r>
      <w:r>
        <w:t xml:space="preserve"> como titular, por ejemplo: “Estados Unidos participa en el 34% de los títulos, 3,8 veces el volumen de Japón”. El subtítulo describe qué muestra el gráfico y su alcance. Esta práctica de storytelling responde directamente a “¿qué está ocurriendo?” y reduce el tiempo de interpretación de los ejecutivos (Problema 7 del caso).</w:t>
      </w:r>
    </w:p>
    <w:p>
      <w:pPr>
        <w:spacing w:after="120" w:line="276"/>
        <w:jc w:val="both"/>
      </w:pPr>
      <w:r>
        <w:t xml:space="preserve">Los titulares son </w:t>
      </w:r>
      <w:r>
        <w:rPr>
          <w:b/>
          <w:bCs/>
        </w:rPr>
        <w:t xml:space="preserve">medidas DAX dinámicas</w:t>
      </w:r>
      <w:r>
        <w:t xml:space="preserve">: se recalculan con los filtros aplicados. Por ejemplo, al filtrar solo series, el mismo título cambia a “Estados Unidos participa en el 20% de los títulos, 1,7 veces el volumen de China”. Para que los porcentajes sean correctos, cada titular ignora el filtro Top N de su propio gráfico pero respeta los segmentadores del usuario.</w:t>
      </w:r>
    </w:p>
    <w:p>
      <w:pPr>
        <w:pStyle w:val="Heading1"/>
      </w:pPr>
      <w:r>
        <w:t xml:space="preserve">7. Páginas del dashboard y justificación de diseño</w:t>
      </w:r>
    </w:p>
    <w:p>
      <w:pPr>
        <w:spacing w:after="120" w:line="276"/>
        <w:jc w:val="both"/>
      </w:pPr>
      <w:r>
        <w:t xml:space="preserve">Todas las páginas comparten la misma estructura: título con audiencia y pregunta guía, navegador, fila de segmentadores, indicadores, gráficos y pie de alcance. Esta consistencia reduce el esfuerzo de lectura y aplica los principios de jerarquía visual y consistencia.</w:t>
      </w:r>
    </w:p>
    <w:p>
      <w:pPr>
        <w:pStyle w:val="Heading2"/>
      </w:pPr>
      <w:r>
        <w:t xml:space="preserve">7.1 Resumen Ejecutivo</w:t>
      </w:r>
    </w:p>
    <w:p>
      <w:pPr>
        <w:keepNext/>
        <w:spacing w:after="160"/>
      </w:pPr>
      <w:r>
        <w:rPr>
          <w:b/>
          <w:bCs/>
          <w:color w:val="52514E"/>
        </w:rPr>
        <w:t xml:space="preserve">Audiencia: </w:t>
      </w:r>
      <w:r>
        <w:rPr>
          <w:color w:val="52514E"/>
        </w:rPr>
        <w:t xml:space="preserve">Directorio y Gerencia General</w:t>
      </w:r>
      <w:r>
        <w:rPr>
          <w:b/>
          <w:bCs/>
          <w:color w:val="52514E"/>
        </w:rPr>
        <w:t xml:space="preserve">   ·   Pregunta guía: </w:t>
      </w:r>
      <w:r>
        <w:rPr>
          <w:i/>
          <w:iCs/>
          <w:color w:val="52514E"/>
        </w:rPr>
        <w:t xml:space="preserve">¿Cómo está compuesto el catálogo y cómo ha evolucionado?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5943600" cy="3352800"/>
            <wp:effectExtent t="0" r="0" b="0" l="0"/>
            <wp:docPr id="1" name="1_Resumen.jpg" descr="Página Resumen Ejecutivo." title="Página Resumen Ejecutiv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898781"/>
          <w:sz w:val="18"/>
          <w:szCs w:val="18"/>
        </w:rPr>
        <w:t xml:space="preserve">Figura 1. Página Resumen Ejecutivo.</w:t>
      </w:r>
    </w:p>
    <w:p>
      <w:pPr>
        <w:pStyle w:val="Heading3"/>
      </w:pPr>
      <w:r>
        <w:t xml:space="preserve">Visualizaciones y justificación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/>
      </w:r>
      <w:r>
        <w:rPr>
          <w:b/>
          <w:bCs/>
        </w:rPr>
        <w:t xml:space="preserve">Ocho tarjetas KPI:</w:t>
      </w:r>
      <w:r>
        <w:t xml:space="preserve"> entregan la visión consolidada del catálogo que exige el Problema 1, legible en pocos segundos.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/>
      </w:r>
      <w:r>
        <w:rPr>
          <w:b/>
          <w:bCs/>
        </w:rPr>
        <w:t xml:space="preserve">Barras horizontales Top 10 (géneros y países):</w:t>
      </w:r>
      <w:r>
        <w:t xml:space="preserve"> son la forma más precisa de comparar magnitudes y permiten leer etiquetas largas. Se ordenan de mayor a menor y muestran el valor en cada barra, sin eje redundante.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/>
      </w:r>
      <w:r>
        <w:rPr>
          <w:b/>
          <w:bCs/>
        </w:rPr>
        <w:t xml:space="preserve">Áreas apiladas acumuladas por tipo:</w:t>
      </w:r>
      <w:r>
        <w:t xml:space="preserve"> muestran a la vez la evolución del total y el aporte de películas y series.</w:t>
      </w:r>
    </w:p>
    <w:p>
      <w:pPr>
        <w:pStyle w:val="Heading3"/>
      </w:pPr>
      <w:r>
        <w:t xml:space="preserve">Hallazgos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Drama lidera el catálogo: está presente en el 46% de los títulos.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Estados Unidos participa en el 34% de los títulos, 3,8 veces el volumen de Japón.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Crecimiento lineal y estable: ~2.000 títulos nuevos por año.</w:t>
      </w:r>
    </w:p>
    <w:p>
      <w:pPr>
        <w:pStyle w:val="Heading2"/>
      </w:pPr>
      <w:r>
        <w:t xml:space="preserve">7.2 Análisis del Catálogo</w:t>
      </w:r>
    </w:p>
    <w:p>
      <w:pPr>
        <w:keepNext/>
        <w:spacing w:after="160"/>
      </w:pPr>
      <w:r>
        <w:rPr>
          <w:b/>
          <w:bCs/>
          <w:color w:val="52514E"/>
        </w:rPr>
        <w:t xml:space="preserve">Audiencia: </w:t>
      </w:r>
      <w:r>
        <w:rPr>
          <w:color w:val="52514E"/>
        </w:rPr>
        <w:t xml:space="preserve">Gerencia de Contenidos y Producto</w:t>
      </w:r>
      <w:r>
        <w:rPr>
          <w:b/>
          <w:bCs/>
          <w:color w:val="52514E"/>
        </w:rPr>
        <w:t xml:space="preserve">   ·   Pregunta guía: </w:t>
      </w:r>
      <w:r>
        <w:rPr>
          <w:i/>
          <w:iCs/>
          <w:color w:val="52514E"/>
        </w:rPr>
        <w:t xml:space="preserve">¿Qué géneros, idiomas y talentos componen la oferta?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5943600" cy="3352800"/>
            <wp:effectExtent t="0" r="0" b="0" l="0"/>
            <wp:docPr id="1" name="2_Catalogo.jpg" descr="Página Análisis del Catálogo." title="Página Análisis del Catálog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898781"/>
          <w:sz w:val="18"/>
          <w:szCs w:val="18"/>
        </w:rPr>
        <w:t xml:space="preserve">Figura 2. Página Análisis del Catálogo.</w:t>
      </w:r>
    </w:p>
    <w:p>
      <w:pPr>
        <w:pStyle w:val="Heading3"/>
      </w:pPr>
      <w:r>
        <w:t xml:space="preserve">Visualizaciones y justificación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/>
      </w:r>
      <w:r>
        <w:rPr>
          <w:b/>
          <w:bCs/>
        </w:rPr>
        <w:t xml:space="preserve">Treemap tipo → género:</w:t>
      </w:r>
      <w:r>
        <w:t xml:space="preserve"> representa la composición jerárquica parte-todo en poco espacio, con el color de cada tipo.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/>
      </w:r>
      <w:r>
        <w:rPr>
          <w:b/>
          <w:bCs/>
        </w:rPr>
        <w:t xml:space="preserve">Línea de títulos incorporados por año:</w:t>
      </w:r>
      <w:r>
        <w:t xml:space="preserve"> el eje vertical parte en cero para no exagerar variaciones y evidencia el volumen constante del extracto.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/>
      </w:r>
      <w:r>
        <w:rPr>
          <w:b/>
          <w:bCs/>
        </w:rPr>
        <w:t xml:space="preserve">Top 10 de idiomas, directores y actores en barras:</w:t>
      </w:r>
      <w:r>
        <w:t xml:space="preserve"> responden las preguntas de negocio de producción (¿qué directores y actores aparecen con mayor frecuencia?).</w:t>
      </w:r>
    </w:p>
    <w:p>
      <w:pPr>
        <w:pStyle w:val="Heading3"/>
      </w:pPr>
      <w:r>
        <w:t xml:space="preserve">Hallazgos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Catálogo equilibrado (50% películas, 50% series). Drama es el género dominante en ambos formatos.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El inglés concentra el 44% de los títulos, seguido del chino (mandarín) y el japonés.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Dirección muy atomizada: entre 14.025 directores, el máximo es de 21 títulos. Min Do-yoon lidera el reparto con 111 apariciones.</w:t>
      </w:r>
    </w:p>
    <w:p>
      <w:pPr>
        <w:pStyle w:val="Heading2"/>
      </w:pPr>
      <w:r>
        <w:t xml:space="preserve">7.3 Popularidad y Valoración</w:t>
      </w:r>
    </w:p>
    <w:p>
      <w:pPr>
        <w:keepNext/>
        <w:spacing w:after="160"/>
      </w:pPr>
      <w:r>
        <w:rPr>
          <w:b/>
          <w:bCs/>
          <w:color w:val="52514E"/>
        </w:rPr>
        <w:t xml:space="preserve">Audiencia: </w:t>
      </w:r>
      <w:r>
        <w:rPr>
          <w:color w:val="52514E"/>
        </w:rPr>
        <w:t xml:space="preserve">Gerencia de Contenidos y Marketing</w:t>
      </w:r>
      <w:r>
        <w:rPr>
          <w:b/>
          <w:bCs/>
          <w:color w:val="52514E"/>
        </w:rPr>
        <w:t xml:space="preserve">   ·   Pregunta guía: </w:t>
      </w:r>
      <w:r>
        <w:rPr>
          <w:i/>
          <w:iCs/>
          <w:color w:val="52514E"/>
        </w:rPr>
        <w:t xml:space="preserve">¿Qué contenidos destacan y qué los caracteriza?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5943600" cy="3352800"/>
            <wp:effectExtent t="0" r="0" b="0" l="0"/>
            <wp:docPr id="1" name="3_Popularidad.jpg" descr="Página Popularidad y Valoración." title="Página Popularidad y Valoració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898781"/>
          <w:sz w:val="18"/>
          <w:szCs w:val="18"/>
        </w:rPr>
        <w:t xml:space="preserve">Figura 3. Página Popularidad y Valoración.</w:t>
      </w:r>
    </w:p>
    <w:p>
      <w:pPr>
        <w:pStyle w:val="Heading3"/>
      </w:pPr>
      <w:r>
        <w:t xml:space="preserve">Visualizaciones y justificación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/>
      </w:r>
      <w:r>
        <w:rPr>
          <w:b/>
          <w:bCs/>
        </w:rPr>
        <w:t xml:space="preserve">Top 10 más populares y mejor evaluados:</w:t>
      </w:r>
      <w:r>
        <w:t xml:space="preserve"> el ranking de calificación exige ≥100 votos para no premiar notas basadas en pocas evaluaciones.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/>
      </w:r>
      <w:r>
        <w:rPr>
          <w:b/>
          <w:bCs/>
        </w:rPr>
        <w:t xml:space="preserve">Columnas agrupadas película vs serie por género:</w:t>
      </w:r>
      <w:r>
        <w:t xml:space="preserve"> responde si existen diferencias entre ambos tipos, con un color fijo para cada uno.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/>
      </w:r>
      <w:r>
        <w:rPr>
          <w:b/>
          <w:bCs/>
        </w:rPr>
        <w:t xml:space="preserve">Dispersión calificación vs popularidad:</w:t>
      </w:r>
      <w:r>
        <w:t xml:space="preserve"> muestra la relación entre dos variables numéricas. Se usa escala logarítmica porque la popularidad varía en varios órdenes de magnitud, y el coeficiente r va en el título.</w:t>
      </w:r>
    </w:p>
    <w:p>
      <w:pPr>
        <w:pStyle w:val="Heading3"/>
      </w:pPr>
      <w:r>
        <w:t xml:space="preserve">Hallazgos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Popularidad muy concentrada: el n.º 1 multiplica por 291 la mediana del catálogo.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Excelencia escasa: solo 157 de 11.805 títulos evaluados (≥100 votos) superan 8,5.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Las series tienen 3,3 veces la popularidad mediana del cine. Nota y popularidad tienen una relación moderada (r = 0,46).</w:t>
      </w:r>
    </w:p>
    <w:p>
      <w:pPr>
        <w:pStyle w:val="Heading2"/>
      </w:pPr>
      <w:r>
        <w:t xml:space="preserve">7.4 Rentabilidad de Películas</w:t>
      </w:r>
    </w:p>
    <w:p>
      <w:pPr>
        <w:keepNext/>
        <w:spacing w:after="160"/>
      </w:pPr>
      <w:r>
        <w:rPr>
          <w:b/>
          <w:bCs/>
          <w:color w:val="52514E"/>
        </w:rPr>
        <w:t xml:space="preserve">Audiencia: </w:t>
      </w:r>
      <w:r>
        <w:rPr>
          <w:color w:val="52514E"/>
        </w:rPr>
        <w:t xml:space="preserve">Directorio y Gerencia de Adquisición</w:t>
      </w:r>
      <w:r>
        <w:rPr>
          <w:b/>
          <w:bCs/>
          <w:color w:val="52514E"/>
        </w:rPr>
        <w:t xml:space="preserve">   ·   Pregunta guía: </w:t>
      </w:r>
      <w:r>
        <w:rPr>
          <w:i/>
          <w:iCs/>
          <w:color w:val="52514E"/>
        </w:rPr>
        <w:t xml:space="preserve">¿Qué películas retornan más que su inversión?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5943600" cy="3352800"/>
            <wp:effectExtent t="0" r="0" b="0" l="0"/>
            <wp:docPr id="1" name="4_Rentabilidad.jpg" descr="Página Rentabilidad de Películas." title="Página Rentabilidad de Películ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898781"/>
          <w:sz w:val="18"/>
          <w:szCs w:val="18"/>
        </w:rPr>
        <w:t xml:space="preserve">Figura 4. Página Rentabilidad de Películas.</w:t>
      </w:r>
    </w:p>
    <w:p>
      <w:pPr>
        <w:pStyle w:val="Heading3"/>
      </w:pPr>
      <w:r>
        <w:t xml:space="preserve">Visualizaciones y justificación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/>
      </w:r>
      <w:r>
        <w:rPr>
          <w:b/>
          <w:bCs/>
        </w:rPr>
        <w:t xml:space="preserve">Filtro fijo Tipo = Película:</w:t>
      </w:r>
      <w:r>
        <w:t xml:space="preserve"> presupuesto e ingresos solo existen para películas (regla de negocio 3). El pie de página declara la cobertura del 22%.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/>
      </w:r>
      <w:r>
        <w:rPr>
          <w:b/>
          <w:bCs/>
        </w:rPr>
        <w:t xml:space="preserve">Dispersión presupuesto vs ingresos con ejes logarítmicos:</w:t>
      </w:r>
      <w:r>
        <w:t xml:space="preserve"> permite ver la relación sin que las superproducciones oculten al resto.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/>
      </w:r>
      <w:r>
        <w:rPr>
          <w:b/>
          <w:bCs/>
        </w:rPr>
        <w:t xml:space="preserve">Top 10 por ingresos y por ROI:</w:t>
      </w:r>
      <w:r>
        <w:t xml:space="preserve"> responden qué películas obtuvieron mayor retorno y cuáles tuvieron éxito con presupuestos reducidos. El presupuesto se muestra en el tooltip.</w:t>
      </w:r>
    </w:p>
    <w:p>
      <w:pPr>
        <w:pStyle w:val="Heading3"/>
      </w:pPr>
      <w:r>
        <w:t xml:space="preserve">Hallazgos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Presupuesto e ingresos tienen una relación moderada (r = 0,66): más inversión suele traer más ingresos, con alta dispersión.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10 superproducciones (0,3% de las películas) generan el 5% de los ingresos.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Los mayores ROI vienen de presupuestos bajos: mediana de US$113 mil frente a US$15,8 M del total.</w:t>
      </w:r>
    </w:p>
    <w:p>
      <w:pPr>
        <w:pStyle w:val="Heading2"/>
      </w:pPr>
      <w:r>
        <w:t xml:space="preserve">7.5 Estrategia y Marketing</w:t>
      </w:r>
    </w:p>
    <w:p>
      <w:pPr>
        <w:keepNext/>
        <w:spacing w:after="160"/>
      </w:pPr>
      <w:r>
        <w:rPr>
          <w:b/>
          <w:bCs/>
          <w:color w:val="52514E"/>
        </w:rPr>
        <w:t xml:space="preserve">Audiencia: </w:t>
      </w:r>
      <w:r>
        <w:rPr>
          <w:color w:val="52514E"/>
        </w:rPr>
        <w:t xml:space="preserve">Gerencia de Marketing y Adquisición</w:t>
      </w:r>
      <w:r>
        <w:rPr>
          <w:b/>
          <w:bCs/>
          <w:color w:val="52514E"/>
        </w:rPr>
        <w:t xml:space="preserve">   ·   Pregunta guía: </w:t>
      </w:r>
      <w:r>
        <w:rPr>
          <w:i/>
          <w:iCs/>
          <w:color w:val="52514E"/>
        </w:rPr>
        <w:t xml:space="preserve">¿Qué priorizar en adquisiciones y campañas?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5943600" cy="3352800"/>
            <wp:effectExtent t="0" r="0" b="0" l="0"/>
            <wp:docPr id="1" name="5_Estrategia.jpg" descr="Página Estrategia y Marketing." title="Página Estrategia y Marketing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898781"/>
          <w:sz w:val="18"/>
          <w:szCs w:val="18"/>
        </w:rPr>
        <w:t xml:space="preserve">Figura 5. Página Estrategia y Marketing.</w:t>
      </w:r>
    </w:p>
    <w:p>
      <w:pPr>
        <w:pStyle w:val="Heading3"/>
      </w:pPr>
      <w:r>
        <w:t xml:space="preserve">Visualizaciones y justificación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/>
      </w:r>
      <w:r>
        <w:rPr>
          <w:b/>
          <w:bCs/>
        </w:rPr>
        <w:t xml:space="preserve">Mapa de oportunidades (burbujas):</w:t>
      </w:r>
      <w:r>
        <w:t xml:space="preserve"> cruza calificación y popularidad por género. Arriba a la derecha quedan los géneros que conviene priorizar, y el tamaño indica el volumen de títulos.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/>
      </w:r>
      <w:r>
        <w:rPr>
          <w:b/>
          <w:bCs/>
        </w:rPr>
        <w:t xml:space="preserve">Mercados con mayor potencial:</w:t>
      </w:r>
      <w:r>
        <w:t xml:space="preserve"> popularidad mediana de los ocho países con más títulos, para comparar mercados de tamaño relevante.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/>
      </w:r>
      <w:r>
        <w:rPr>
          <w:b/>
          <w:bCs/>
        </w:rPr>
        <w:t xml:space="preserve">Géneros más rentables:</w:t>
      </w:r>
      <w:r>
        <w:t xml:space="preserve"> ROI mediano por género, más robusto que el promedio frente a éxitos extremos.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/>
      </w:r>
      <w:r>
        <w:rPr>
          <w:b/>
          <w:bCs/>
        </w:rPr>
        <w:t xml:space="preserve">Tabla de candidatos a campaña:</w:t>
      </w:r>
      <w:r>
        <w:t xml:space="preserve"> lista accionable de estrenos de los últimos tres años con ≥100 votos y calificación ≥ 7, ordenada por popularidad.</w:t>
      </w:r>
    </w:p>
    <w:p>
      <w:pPr>
        <w:pStyle w:val="Heading3"/>
      </w:pPr>
      <w:r>
        <w:t xml:space="preserve">Hallazgos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9 géneros superan la media en popularidad y nota. Destacan Infantil y Reality.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China lidera en popularidad mediana (29,4), 1,6 veces la de Estados Unidos, el mayor productor.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Documental es el género más rentable: ROI mediano de 2,8x frente a 1,7x del total. 516 títulos recientes cumplen los criterios de campaña.</w:t>
      </w:r>
    </w:p>
    <w:p>
      <w:pPr>
        <w:pStyle w:val="Heading1"/>
      </w:pPr>
      <w:r>
        <w:t xml:space="preserve">8. Decisiones de diseño visual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/>
      </w:r>
      <w:r>
        <w:rPr>
          <w:b/>
          <w:bCs/>
        </w:rPr>
        <w:t xml:space="preserve">Color con significado fijo:</w:t>
      </w:r>
      <w:r>
        <w:t xml:space="preserve"> azul para películas y naranja para series en todos los gráficos. El color está asociado a la categoría y no cambia al filtrar. La paleta fue validada para personas con daltonismo. Los gráficos de una sola serie usan un único color para no agregar colores sin significado.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/>
      </w:r>
      <w:r>
        <w:rPr>
          <w:b/>
          <w:bCs/>
        </w:rPr>
        <w:t xml:space="preserve">Simplicidad:</w:t>
      </w:r>
      <w:r>
        <w:t xml:space="preserve"> sin gráficos 3D, sin doble eje y sin elementos decorativos. Fondo neutro, tarjetas con borde suave y líneas de cuadrícula tenues.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/>
      </w:r>
      <w:r>
        <w:rPr>
          <w:b/>
          <w:bCs/>
        </w:rPr>
        <w:t xml:space="preserve">Jerarquía visual:</w:t>
      </w:r>
      <w:r>
        <w:t xml:space="preserve"> titular con el hallazgo, subtítulo con el alcance, y KPIs arriba antes que el detalle.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/>
      </w:r>
      <w:r>
        <w:rPr>
          <w:b/>
          <w:bCs/>
        </w:rPr>
        <w:t xml:space="preserve">Medidas robustas:</w:t>
      </w:r>
      <w:r>
        <w:t xml:space="preserve"> se usan medianas en lugar de promedios donde hay valores extremos (popularidad y ROI), y se indica en cada subtítulo.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/>
      </w:r>
      <w:r>
        <w:rPr>
          <w:b/>
          <w:bCs/>
        </w:rPr>
        <w:t xml:space="preserve">Escalas logarítmicas</w:t>
      </w:r>
      <w:r>
        <w:t xml:space="preserve"> solo en los gráficos de dispersión, siempre señaladas en el subtítulo.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/>
      </w:r>
      <w:r>
        <w:rPr>
          <w:b/>
          <w:bCs/>
        </w:rPr>
        <w:t xml:space="preserve">Formato local:</w:t>
      </w:r>
      <w:r>
        <w:t xml:space="preserve"> números con punto de miles y coma decimal, y montos en dólares (US$).</w:t>
      </w:r>
    </w:p>
    <w:p>
      <w:pPr>
        <w:pStyle w:val="Heading1"/>
      </w:pPr>
      <w:r>
        <w:t xml:space="preserve">9. Limitaciones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Los datos no contienen la clasificación por edad: la variable rating duplica vote_average.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El volumen anual es fijo por diseño del extracto (1.000 películas y 1.000 series por año), por lo que no permite medir crecimiento real del catálogo.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Solo el 22% de las películas tiene datos financieros válidos, y las series no tienen. Los indicadores financieros se interpretan dentro de ese alcance.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La popularidad es un índice relativo de TMDB y no equivale a reproducciones (regla de negocio 6).</w:t>
      </w:r>
    </w:p>
    <w:sectPr>
      <w:headerReference w:type="default" r:id="rId6"/>
      <w:headerReference w:type="first" r:id="rId7"/>
      <w:footerReference w:type="default" r:id="rId8"/>
      <w:footerReference w:type="first" r:id="rId9"/>
      <w:pgSz w:w="12240" w:h="15840" w:orient="portrait"/>
      <w:pgMar w:top="1276" w:right="1418" w:bottom="1418" w:left="1418" w:header="709" w:footer="567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PiePagina"/>
      <w:jc w:val="center"/>
    </w:pPr>
    <w:r>
      <w:rPr>
        <w:color w:val="898781"/>
        <w:sz w:val="16"/>
        <w:szCs w:val="16"/>
      </w:rPr>
      <w:t xml:space="preserve">Página </w:t>
    </w:r>
    <w:r>
      <w:rPr>
        <w:color w:val="898781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98781"/>
        <w:sz w:val="16"/>
        <w:szCs w:val="16"/>
      </w:rPr>
      <w:t xml:space="preserve"> de </w:t>
    </w:r>
    <w:r>
      <w:rPr>
        <w:color w:val="898781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98781"/>
        <w:sz w:val="16"/>
        <w:szCs w:val="16"/>
      </w:rPr>
      <w:t xml:space="preserve">StreamView Analytics · Dashboard interactivo (EV2)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PiePagina">
    <w:name w:val="Pie de página StreamView"/>
    <w:basedOn w:val="Normal"/>
    <w:rPr>
      <w:color w:val="898781"/>
      <w:sz w:val="16"/>
      <w:szCs w:val="16"/>
    </w:rPr>
  </w:style>
  <w:style w:type="paragraph" w:styleId="Heading1">
    <w:name w:val="Heading 1"/>
    <w:basedOn w:val="Normal"/>
    <w:next w:val="Normal"/>
    <w:qFormat/>
    <w:pPr>
      <w:keepNext/>
      <w:spacing w:before="360" w:after="160"/>
      <w:outlineLvl w:val="0"/>
    </w:pPr>
    <w:rPr>
      <w:rFonts w:ascii="Calibri" w:cs="Calibri" w:eastAsia="Calibri" w:hAnsi="Calibri"/>
      <w:b/>
      <w:bCs/>
      <w:color w:val="184F95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rFonts w:ascii="Calibri" w:cs="Calibri" w:eastAsia="Calibri" w:hAnsi="Calibri"/>
      <w:b/>
      <w:bCs/>
      <w:color w:val="2A78D6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before="180" w:after="80"/>
      <w:outlineLvl w:val="2"/>
    </w:pPr>
    <w:rPr>
      <w:rFonts w:ascii="Calibri" w:cs="Calibri" w:eastAsia="Calibri" w:hAnsi="Calibri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image" Target="media/af2355114a03a3c594b216d4719eea6f8839da6d.jpg"/><Relationship Id="rId11" Type="http://schemas.openxmlformats.org/officeDocument/2006/relationships/image" Target="media/a2002db2e145ef837b0117bc5ca50fc8b6fd45ca.jpg"/><Relationship Id="rId12" Type="http://schemas.openxmlformats.org/officeDocument/2006/relationships/image" Target="media/6d71d9203078630df9463f10f8ab925cd5936d47.jpg"/><Relationship Id="rId13" Type="http://schemas.openxmlformats.org/officeDocument/2006/relationships/image" Target="media/2dbab044bd393a8f23bf9dd04ca2651276c80b25.jpg"/><Relationship Id="rId14" Type="http://schemas.openxmlformats.org/officeDocument/2006/relationships/image" Target="media/d3031f83b8cb76c065721b5a7eea9f1579ddb708.jpg"/><Relationship Id="rId15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StreamView Analytics – Dashboard interactivo (EV2)</dc:title>
  <dc:creator>StreamView Analytics – Equipo consultor</dc:creator>
  <dc:description>Justificación de diseño del dashboard de Power BI</dc:description>
  <cp:lastModifiedBy>Un-named</cp:lastModifiedBy>
  <cp:revision>1</cp:revision>
  <dcterms:created xsi:type="dcterms:W3CDTF">2026-10-25T04:24:57.526Z</dcterms:created>
  <dcterms:modified xsi:type="dcterms:W3CDTF">2026-10-25T04:24:57.528Z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