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C07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Reglas generales de transformación</w:t>
      </w:r>
    </w:p>
    <w:p w14:paraId="6A993904" w14:textId="7FC6DF40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Limpieza de texto</w:t>
      </w:r>
    </w:p>
    <w:p w14:paraId="132D2B71" w14:textId="77777777" w:rsidR="00391401" w:rsidRPr="00391401" w:rsidRDefault="00391401" w:rsidP="00391401">
      <w:r w:rsidRPr="00391401">
        <w:t>Aplican a atributos de tipo cadena en tablas maestras y transaccionales.</w:t>
      </w:r>
    </w:p>
    <w:p w14:paraId="46E8517C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Reglas</w:t>
      </w:r>
    </w:p>
    <w:p w14:paraId="598AEE2B" w14:textId="0B6FA685" w:rsidR="00391401" w:rsidRPr="00391401" w:rsidRDefault="00391401" w:rsidP="00391401">
      <w:pPr>
        <w:numPr>
          <w:ilvl w:val="0"/>
          <w:numId w:val="1"/>
        </w:numPr>
      </w:pPr>
      <w:r w:rsidRPr="00391401">
        <w:t xml:space="preserve">eliminar espacios en blanco al inicio </w:t>
      </w:r>
    </w:p>
    <w:p w14:paraId="16825083" w14:textId="77777777" w:rsidR="00391401" w:rsidRPr="00391401" w:rsidRDefault="00391401" w:rsidP="00391401">
      <w:pPr>
        <w:numPr>
          <w:ilvl w:val="0"/>
          <w:numId w:val="1"/>
        </w:numPr>
      </w:pPr>
      <w:r w:rsidRPr="00391401">
        <w:t xml:space="preserve">estandarizar mayúsculas/minúsculas según convenga al atributo: </w:t>
      </w:r>
    </w:p>
    <w:p w14:paraId="20576E0F" w14:textId="77777777" w:rsidR="00391401" w:rsidRPr="00391401" w:rsidRDefault="00391401" w:rsidP="00391401">
      <w:pPr>
        <w:numPr>
          <w:ilvl w:val="1"/>
          <w:numId w:val="1"/>
        </w:numPr>
      </w:pPr>
      <w:r w:rsidRPr="00391401">
        <w:t xml:space="preserve">nombres descriptivos: formato tipo título; </w:t>
      </w:r>
    </w:p>
    <w:p w14:paraId="5525FF54" w14:textId="77777777" w:rsidR="00391401" w:rsidRPr="00391401" w:rsidRDefault="00391401" w:rsidP="00391401">
      <w:pPr>
        <w:numPr>
          <w:ilvl w:val="1"/>
          <w:numId w:val="1"/>
        </w:numPr>
      </w:pPr>
      <w:r w:rsidRPr="00391401">
        <w:t xml:space="preserve">códigos o identificadores alfabéticos: mayúscula; </w:t>
      </w:r>
    </w:p>
    <w:p w14:paraId="2DC1171A" w14:textId="77777777" w:rsidR="00391401" w:rsidRPr="00391401" w:rsidRDefault="00391401" w:rsidP="00391401">
      <w:pPr>
        <w:numPr>
          <w:ilvl w:val="0"/>
          <w:numId w:val="1"/>
        </w:numPr>
      </w:pPr>
      <w:r w:rsidRPr="00391401">
        <w:t xml:space="preserve">convertir cadenas vacías ('') a NULL cuando representen ausencia real del dato; </w:t>
      </w:r>
    </w:p>
    <w:p w14:paraId="63A01543" w14:textId="77777777" w:rsidR="00391401" w:rsidRPr="00391401" w:rsidRDefault="00391401" w:rsidP="00391401">
      <w:pPr>
        <w:numPr>
          <w:ilvl w:val="0"/>
          <w:numId w:val="1"/>
        </w:numPr>
      </w:pPr>
      <w:r w:rsidRPr="00391401">
        <w:t xml:space="preserve">eliminar caracteres no válidos si son claramente producto de digitación errónea y no alteran el valor semántico. </w:t>
      </w:r>
    </w:p>
    <w:p w14:paraId="0F5C9CDC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Campos típicos</w:t>
      </w:r>
    </w:p>
    <w:p w14:paraId="6EFA5E83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nombre de paciente </w:t>
      </w:r>
    </w:p>
    <w:p w14:paraId="1608C972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nombre de médico </w:t>
      </w:r>
    </w:p>
    <w:p w14:paraId="6A24C5A5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nombre de servicio </w:t>
      </w:r>
    </w:p>
    <w:p w14:paraId="1FBF43BA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nombre de especialidad </w:t>
      </w:r>
    </w:p>
    <w:p w14:paraId="079608EC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nombre de sede </w:t>
      </w:r>
    </w:p>
    <w:p w14:paraId="21E0EAC0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nombre de aseguradora </w:t>
      </w:r>
    </w:p>
    <w:p w14:paraId="4C9A9740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modalidad de pago </w:t>
      </w:r>
    </w:p>
    <w:p w14:paraId="61A9415F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estado de cita </w:t>
      </w:r>
    </w:p>
    <w:p w14:paraId="353DD286" w14:textId="77777777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tipo de cliente </w:t>
      </w:r>
    </w:p>
    <w:p w14:paraId="7541E30D" w14:textId="41D2291A" w:rsidR="00391401" w:rsidRPr="00391401" w:rsidRDefault="00391401" w:rsidP="00391401">
      <w:pPr>
        <w:numPr>
          <w:ilvl w:val="0"/>
          <w:numId w:val="2"/>
        </w:numPr>
      </w:pPr>
      <w:r w:rsidRPr="00391401">
        <w:t xml:space="preserve">tipo de servicio </w:t>
      </w:r>
    </w:p>
    <w:p w14:paraId="7BB060B5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2.2 Homologación de dominios</w:t>
      </w:r>
    </w:p>
    <w:p w14:paraId="5E89D07A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 general</w:t>
      </w:r>
    </w:p>
    <w:p w14:paraId="680FCC28" w14:textId="77777777" w:rsidR="00391401" w:rsidRPr="00391401" w:rsidRDefault="00391401" w:rsidP="00391401">
      <w:r w:rsidRPr="00391401">
        <w:t>Valores equivalentes se transforman a un único valor estándar.</w:t>
      </w:r>
    </w:p>
    <w:p w14:paraId="411813B1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Ejemplos de homologación</w:t>
      </w:r>
    </w:p>
    <w:p w14:paraId="53B83C20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 xml:space="preserve">"efectivo", "Efectivo", "cash" → Efectivo </w:t>
      </w:r>
    </w:p>
    <w:p w14:paraId="5DE774C2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>"</w:t>
      </w:r>
      <w:proofErr w:type="spellStart"/>
      <w:r w:rsidRPr="00391401">
        <w:t>tc</w:t>
      </w:r>
      <w:proofErr w:type="spellEnd"/>
      <w:r w:rsidRPr="00391401">
        <w:t xml:space="preserve">", "tarjeta </w:t>
      </w:r>
      <w:proofErr w:type="spellStart"/>
      <w:r w:rsidRPr="00391401">
        <w:t>credito</w:t>
      </w:r>
      <w:proofErr w:type="spellEnd"/>
      <w:r w:rsidRPr="00391401">
        <w:t xml:space="preserve">", "Tarjeta Crédito" → Tarjeta de crédito </w:t>
      </w:r>
    </w:p>
    <w:p w14:paraId="13772E37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>"</w:t>
      </w:r>
      <w:proofErr w:type="spellStart"/>
      <w:r w:rsidRPr="00391401">
        <w:t>td</w:t>
      </w:r>
      <w:proofErr w:type="spellEnd"/>
      <w:r w:rsidRPr="00391401">
        <w:t xml:space="preserve">", "tarjeta debito" → Tarjeta de débito </w:t>
      </w:r>
    </w:p>
    <w:p w14:paraId="5E34B17F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>"</w:t>
      </w:r>
      <w:proofErr w:type="spellStart"/>
      <w:r w:rsidRPr="00391401">
        <w:t>intl</w:t>
      </w:r>
      <w:proofErr w:type="spellEnd"/>
      <w:r w:rsidRPr="00391401">
        <w:t xml:space="preserve">", "internacional" → Internacional </w:t>
      </w:r>
    </w:p>
    <w:p w14:paraId="268A33D9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>"</w:t>
      </w:r>
      <w:proofErr w:type="spellStart"/>
      <w:r w:rsidRPr="00391401">
        <w:t>nac</w:t>
      </w:r>
      <w:proofErr w:type="spellEnd"/>
      <w:r w:rsidRPr="00391401">
        <w:t xml:space="preserve">", "nacional" → Nacional </w:t>
      </w:r>
    </w:p>
    <w:p w14:paraId="1EF3D617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 xml:space="preserve">"consulta", "CONSULTA" → Consulta </w:t>
      </w:r>
    </w:p>
    <w:p w14:paraId="0B68E40F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lastRenderedPageBreak/>
        <w:t>"</w:t>
      </w:r>
      <w:proofErr w:type="spellStart"/>
      <w:r w:rsidRPr="00391401">
        <w:t>proc</w:t>
      </w:r>
      <w:proofErr w:type="spellEnd"/>
      <w:r w:rsidRPr="00391401">
        <w:t xml:space="preserve">", "procedimiento" → Procedimiento </w:t>
      </w:r>
    </w:p>
    <w:p w14:paraId="5201D3A9" w14:textId="77777777" w:rsidR="00391401" w:rsidRPr="00391401" w:rsidRDefault="00391401" w:rsidP="00391401">
      <w:pPr>
        <w:numPr>
          <w:ilvl w:val="0"/>
          <w:numId w:val="3"/>
        </w:numPr>
        <w:rPr>
          <w:lang w:val="en-US"/>
        </w:rPr>
      </w:pPr>
      <w:r w:rsidRPr="00391401">
        <w:rPr>
          <w:lang w:val="en-US"/>
        </w:rPr>
        <w:t>"</w:t>
      </w:r>
      <w:proofErr w:type="gramStart"/>
      <w:r w:rsidRPr="00391401">
        <w:rPr>
          <w:lang w:val="en-US"/>
        </w:rPr>
        <w:t>no</w:t>
      </w:r>
      <w:proofErr w:type="gramEnd"/>
      <w:r w:rsidRPr="00391401">
        <w:rPr>
          <w:lang w:val="en-US"/>
        </w:rPr>
        <w:t xml:space="preserve"> show", "</w:t>
      </w:r>
      <w:proofErr w:type="spellStart"/>
      <w:r w:rsidRPr="00391401">
        <w:rPr>
          <w:lang w:val="en-US"/>
        </w:rPr>
        <w:t>noshow</w:t>
      </w:r>
      <w:proofErr w:type="spellEnd"/>
      <w:r w:rsidRPr="00391401">
        <w:rPr>
          <w:lang w:val="en-US"/>
        </w:rPr>
        <w:t xml:space="preserve">", "No-Show" → No-show </w:t>
      </w:r>
    </w:p>
    <w:p w14:paraId="2B21EDC9" w14:textId="77777777" w:rsidR="00391401" w:rsidRPr="00391401" w:rsidRDefault="00391401" w:rsidP="00391401">
      <w:pPr>
        <w:numPr>
          <w:ilvl w:val="0"/>
          <w:numId w:val="3"/>
        </w:numPr>
      </w:pPr>
      <w:r w:rsidRPr="00391401">
        <w:t xml:space="preserve">"reagenda", "reprogramada" → Reprogramada </w:t>
      </w:r>
    </w:p>
    <w:p w14:paraId="4FAC075E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 de descarte</w:t>
      </w:r>
    </w:p>
    <w:p w14:paraId="3DC015EA" w14:textId="5BD97EA7" w:rsidR="00391401" w:rsidRPr="00391401" w:rsidRDefault="00391401" w:rsidP="00391401">
      <w:r w:rsidRPr="00391401">
        <w:t xml:space="preserve">Si el valor no es homologable y afecta una dimensión o indicador crítico, el registro se descarta. Si no afecta de manera crítica, puede redirigirse a un miembro técnico como Desconocido o No aplica. Esto es consistente con las reglas generales de dominios ya definidas en el documento. </w:t>
      </w:r>
    </w:p>
    <w:p w14:paraId="0D159883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2.3 Conversión de tipos</w:t>
      </w:r>
    </w:p>
    <w:p w14:paraId="10889FA7" w14:textId="77777777" w:rsidR="00391401" w:rsidRPr="00391401" w:rsidRDefault="00391401" w:rsidP="00391401">
      <w:r w:rsidRPr="00391401">
        <w:t xml:space="preserve">El flujo ETL ya definió que se deben convertir a tipo correcto fechas, horas, montos, cantidades e indicadores. </w:t>
      </w:r>
    </w:p>
    <w:p w14:paraId="646176C6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Reglas</w:t>
      </w:r>
    </w:p>
    <w:p w14:paraId="0A16711C" w14:textId="77777777" w:rsidR="00391401" w:rsidRPr="00391401" w:rsidRDefault="00391401" w:rsidP="00391401">
      <w:pPr>
        <w:numPr>
          <w:ilvl w:val="0"/>
          <w:numId w:val="4"/>
        </w:numPr>
      </w:pPr>
      <w:r w:rsidRPr="00391401">
        <w:t xml:space="preserve">fechas → tipo fecha; </w:t>
      </w:r>
    </w:p>
    <w:p w14:paraId="19FDF739" w14:textId="77777777" w:rsidR="00391401" w:rsidRPr="00391401" w:rsidRDefault="00391401" w:rsidP="00391401">
      <w:pPr>
        <w:numPr>
          <w:ilvl w:val="0"/>
          <w:numId w:val="4"/>
        </w:numPr>
      </w:pPr>
      <w:r w:rsidRPr="00391401">
        <w:t>horas → tipo hora o texto normalizado HH:</w:t>
      </w:r>
      <w:proofErr w:type="gramStart"/>
      <w:r w:rsidRPr="00391401">
        <w:t>MM:SS</w:t>
      </w:r>
      <w:proofErr w:type="gramEnd"/>
      <w:r w:rsidRPr="00391401">
        <w:t xml:space="preserve">; </w:t>
      </w:r>
    </w:p>
    <w:p w14:paraId="3F01F417" w14:textId="77777777" w:rsidR="00391401" w:rsidRPr="00391401" w:rsidRDefault="00391401" w:rsidP="00391401">
      <w:pPr>
        <w:numPr>
          <w:ilvl w:val="0"/>
          <w:numId w:val="4"/>
        </w:numPr>
      </w:pPr>
      <w:r w:rsidRPr="00391401">
        <w:t xml:space="preserve">montos → decimal; </w:t>
      </w:r>
    </w:p>
    <w:p w14:paraId="48FDDA8A" w14:textId="77777777" w:rsidR="00391401" w:rsidRPr="00391401" w:rsidRDefault="00391401" w:rsidP="00391401">
      <w:pPr>
        <w:numPr>
          <w:ilvl w:val="0"/>
          <w:numId w:val="4"/>
        </w:numPr>
      </w:pPr>
      <w:r w:rsidRPr="00391401">
        <w:t xml:space="preserve">cantidades → entero; </w:t>
      </w:r>
    </w:p>
    <w:p w14:paraId="515B83BB" w14:textId="77777777" w:rsidR="00391401" w:rsidRPr="00391401" w:rsidRDefault="00391401" w:rsidP="00391401">
      <w:pPr>
        <w:numPr>
          <w:ilvl w:val="0"/>
          <w:numId w:val="4"/>
        </w:numPr>
      </w:pPr>
      <w:r w:rsidRPr="00391401">
        <w:t xml:space="preserve">campos de vigencia como activo → 0/1. </w:t>
      </w:r>
    </w:p>
    <w:p w14:paraId="3ED971FA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 de conversión</w:t>
      </w:r>
    </w:p>
    <w:p w14:paraId="36F663E1" w14:textId="77777777" w:rsidR="00391401" w:rsidRPr="00391401" w:rsidRDefault="00391401" w:rsidP="00391401">
      <w:pPr>
        <w:numPr>
          <w:ilvl w:val="0"/>
          <w:numId w:val="5"/>
        </w:numPr>
      </w:pPr>
      <w:r w:rsidRPr="00391401">
        <w:t xml:space="preserve">valor convertible → se transforma; </w:t>
      </w:r>
    </w:p>
    <w:p w14:paraId="25628356" w14:textId="77777777" w:rsidR="00391401" w:rsidRPr="00391401" w:rsidRDefault="00391401" w:rsidP="00391401">
      <w:pPr>
        <w:numPr>
          <w:ilvl w:val="0"/>
          <w:numId w:val="5"/>
        </w:numPr>
      </w:pPr>
      <w:r w:rsidRPr="00391401">
        <w:t xml:space="preserve">valor no convertible → se marca para descarte; </w:t>
      </w:r>
    </w:p>
    <w:p w14:paraId="4F55307D" w14:textId="77777777" w:rsidR="00391401" w:rsidRPr="00391401" w:rsidRDefault="00391401" w:rsidP="00391401">
      <w:pPr>
        <w:numPr>
          <w:ilvl w:val="0"/>
          <w:numId w:val="5"/>
        </w:numPr>
      </w:pPr>
      <w:r w:rsidRPr="00391401">
        <w:t xml:space="preserve">valor nulo en campo no crítico → se mantiene como NULL; </w:t>
      </w:r>
    </w:p>
    <w:p w14:paraId="26EB984D" w14:textId="6A4EDDAE" w:rsidR="00391401" w:rsidRPr="00391401" w:rsidRDefault="00391401" w:rsidP="00391401">
      <w:pPr>
        <w:numPr>
          <w:ilvl w:val="0"/>
          <w:numId w:val="5"/>
        </w:numPr>
      </w:pPr>
      <w:r w:rsidRPr="00391401">
        <w:t xml:space="preserve">valor nulo en campo crítico → descarte. </w:t>
      </w:r>
    </w:p>
    <w:p w14:paraId="373E77B2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2.4 Eliminación de duplicados</w:t>
      </w:r>
    </w:p>
    <w:p w14:paraId="7282CA91" w14:textId="77777777" w:rsidR="00391401" w:rsidRPr="00391401" w:rsidRDefault="00391401" w:rsidP="00391401">
      <w:r w:rsidRPr="00391401">
        <w:t xml:space="preserve">Ya se definió que duplicados exactos se eliminan y duplicados inconsistentes se descartan. Además, una misma cita puede aparecer varias veces por diseño cuando tenga varias líneas facturadas; eso </w:t>
      </w:r>
      <w:r w:rsidRPr="00391401">
        <w:rPr>
          <w:b/>
          <w:bCs/>
        </w:rPr>
        <w:t>no es duplicado erróneo</w:t>
      </w:r>
      <w:r w:rsidRPr="00391401">
        <w:t xml:space="preserve">, sino expansión analítica controlada. </w:t>
      </w:r>
    </w:p>
    <w:p w14:paraId="1EA213E4" w14:textId="77777777" w:rsidR="00391401" w:rsidRPr="00391401" w:rsidRDefault="00391401" w:rsidP="00391401">
      <w:pPr>
        <w:rPr>
          <w:b/>
          <w:bCs/>
        </w:rPr>
      </w:pPr>
      <w:r w:rsidRPr="00391401">
        <w:rPr>
          <w:b/>
          <w:bCs/>
        </w:rPr>
        <w:t>Reglas</w:t>
      </w:r>
    </w:p>
    <w:p w14:paraId="4AE1C501" w14:textId="77777777" w:rsidR="00391401" w:rsidRPr="00391401" w:rsidRDefault="00391401" w:rsidP="00391401">
      <w:pPr>
        <w:numPr>
          <w:ilvl w:val="0"/>
          <w:numId w:val="6"/>
        </w:numPr>
      </w:pPr>
      <w:r w:rsidRPr="00391401">
        <w:t xml:space="preserve">duplicado exacto de fila → conservar uno; </w:t>
      </w:r>
    </w:p>
    <w:p w14:paraId="524F9386" w14:textId="77777777" w:rsidR="00391401" w:rsidRPr="00391401" w:rsidRDefault="00391401" w:rsidP="00391401">
      <w:pPr>
        <w:numPr>
          <w:ilvl w:val="0"/>
          <w:numId w:val="6"/>
        </w:numPr>
      </w:pPr>
      <w:r w:rsidRPr="00391401">
        <w:t xml:space="preserve">duplicado por PK transaccional → revisar consistencia; </w:t>
      </w:r>
    </w:p>
    <w:p w14:paraId="51DB658D" w14:textId="77777777" w:rsidR="00391401" w:rsidRPr="00391401" w:rsidRDefault="00391401" w:rsidP="00391401">
      <w:pPr>
        <w:numPr>
          <w:ilvl w:val="0"/>
          <w:numId w:val="6"/>
        </w:numPr>
      </w:pPr>
      <w:r w:rsidRPr="00391401">
        <w:t xml:space="preserve">duplicado incoherente sobre misma clave natural → descarte; </w:t>
      </w:r>
    </w:p>
    <w:p w14:paraId="68D3C54F" w14:textId="77777777" w:rsidR="00391401" w:rsidRPr="00391401" w:rsidRDefault="00391401" w:rsidP="00391401">
      <w:pPr>
        <w:numPr>
          <w:ilvl w:val="0"/>
          <w:numId w:val="6"/>
        </w:numPr>
      </w:pPr>
      <w:r w:rsidRPr="00391401">
        <w:t xml:space="preserve">repetición por expansión de </w:t>
      </w:r>
      <w:proofErr w:type="spellStart"/>
      <w:r w:rsidRPr="00391401">
        <w:t>join</w:t>
      </w:r>
      <w:proofErr w:type="spellEnd"/>
      <w:r w:rsidRPr="00391401">
        <w:t xml:space="preserve"> analítico → se conserva si responde a varias líneas de detalle facturable. </w:t>
      </w:r>
    </w:p>
    <w:p w14:paraId="2C763C2C" w14:textId="77777777" w:rsidR="00455D60" w:rsidRDefault="00455D60"/>
    <w:sectPr w:rsidR="00455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452"/>
    <w:multiLevelType w:val="multilevel"/>
    <w:tmpl w:val="993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21C38"/>
    <w:multiLevelType w:val="multilevel"/>
    <w:tmpl w:val="7A7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2F4B"/>
    <w:multiLevelType w:val="multilevel"/>
    <w:tmpl w:val="3F04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618EF"/>
    <w:multiLevelType w:val="multilevel"/>
    <w:tmpl w:val="948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85D63"/>
    <w:multiLevelType w:val="multilevel"/>
    <w:tmpl w:val="BFF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621BF"/>
    <w:multiLevelType w:val="multilevel"/>
    <w:tmpl w:val="AF5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6644">
    <w:abstractNumId w:val="2"/>
  </w:num>
  <w:num w:numId="2" w16cid:durableId="1602177767">
    <w:abstractNumId w:val="0"/>
  </w:num>
  <w:num w:numId="3" w16cid:durableId="827405261">
    <w:abstractNumId w:val="1"/>
  </w:num>
  <w:num w:numId="4" w16cid:durableId="185410691">
    <w:abstractNumId w:val="5"/>
  </w:num>
  <w:num w:numId="5" w16cid:durableId="1296832269">
    <w:abstractNumId w:val="3"/>
  </w:num>
  <w:num w:numId="6" w16cid:durableId="437797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01"/>
    <w:rsid w:val="002C2E62"/>
    <w:rsid w:val="002C4AE4"/>
    <w:rsid w:val="00303374"/>
    <w:rsid w:val="003474C9"/>
    <w:rsid w:val="00391401"/>
    <w:rsid w:val="0043234B"/>
    <w:rsid w:val="00442083"/>
    <w:rsid w:val="00455D60"/>
    <w:rsid w:val="00595E5B"/>
    <w:rsid w:val="005D69EE"/>
    <w:rsid w:val="00637F0F"/>
    <w:rsid w:val="007C7DF6"/>
    <w:rsid w:val="00845CFA"/>
    <w:rsid w:val="00847076"/>
    <w:rsid w:val="00B01913"/>
    <w:rsid w:val="00B2372C"/>
    <w:rsid w:val="00BB3213"/>
    <w:rsid w:val="00BE2588"/>
    <w:rsid w:val="00C21A57"/>
    <w:rsid w:val="00D732CA"/>
    <w:rsid w:val="00D80457"/>
    <w:rsid w:val="00DE11C3"/>
    <w:rsid w:val="00F14826"/>
    <w:rsid w:val="00F4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EB78"/>
  <w15:chartTrackingRefBased/>
  <w15:docId w15:val="{14FDB519-48DB-4223-9562-2DE9D064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213"/>
    <w:pPr>
      <w:spacing w:line="240" w:lineRule="auto"/>
      <w:jc w:val="both"/>
    </w:pPr>
    <w:rPr>
      <w:rFonts w:ascii="Arial" w:hAnsi="Arial"/>
    </w:rPr>
  </w:style>
  <w:style w:type="paragraph" w:styleId="Ttulo1">
    <w:name w:val="heading 1"/>
    <w:aliases w:val="Título 3p"/>
    <w:basedOn w:val="Normal"/>
    <w:next w:val="Normal"/>
    <w:link w:val="Ttulo1Car"/>
    <w:uiPriority w:val="9"/>
    <w:qFormat/>
    <w:rsid w:val="00D732CA"/>
    <w:pPr>
      <w:keepNext/>
      <w:keepLines/>
      <w:spacing w:before="240" w:after="0"/>
      <w:outlineLvl w:val="0"/>
    </w:pPr>
    <w:rPr>
      <w:rFonts w:ascii="Comic Sans MS" w:eastAsiaTheme="majorEastAsia" w:hAnsi="Comic Sans MS" w:cstheme="majorBidi"/>
      <w:b/>
      <w:color w:val="0F4761" w:themeColor="accent1" w:themeShade="BF"/>
      <w:sz w:val="26"/>
      <w:szCs w:val="32"/>
    </w:rPr>
  </w:style>
  <w:style w:type="paragraph" w:styleId="Ttulo2">
    <w:name w:val="heading 2"/>
    <w:aliases w:val="Título ATI"/>
    <w:basedOn w:val="Normal"/>
    <w:next w:val="Normal"/>
    <w:link w:val="Ttulo2Car"/>
    <w:uiPriority w:val="9"/>
    <w:unhideWhenUsed/>
    <w:qFormat/>
    <w:rsid w:val="00845CFA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14826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C4AE4"/>
    <w:pPr>
      <w:keepNext/>
      <w:keepLines/>
      <w:spacing w:before="240" w:after="240"/>
      <w:outlineLvl w:val="3"/>
    </w:pPr>
    <w:rPr>
      <w:rFonts w:eastAsiaTheme="majorEastAsia" w:cstheme="majorBidi"/>
      <w:b/>
      <w:iCs/>
      <w:lang w:eastAsia="es-C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4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4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4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4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4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autoRedefine/>
    <w:uiPriority w:val="1"/>
    <w:qFormat/>
    <w:rsid w:val="00DE11C3"/>
    <w:pPr>
      <w:spacing w:after="0" w:line="360" w:lineRule="auto"/>
      <w:jc w:val="both"/>
    </w:pPr>
    <w:rPr>
      <w:rFonts w:ascii="Arial" w:eastAsiaTheme="minorEastAsia" w:hAnsi="Arial"/>
      <w:color w:val="0070C0"/>
      <w:sz w:val="24"/>
      <w:lang w:val="es-ES" w:eastAsia="es-C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E11C3"/>
    <w:rPr>
      <w:rFonts w:ascii="Arial" w:eastAsiaTheme="minorEastAsia" w:hAnsi="Arial"/>
      <w:color w:val="0070C0"/>
      <w:sz w:val="24"/>
      <w:lang w:val="es-ES" w:eastAsia="es-CR"/>
    </w:rPr>
  </w:style>
  <w:style w:type="character" w:customStyle="1" w:styleId="Ttulo1Car">
    <w:name w:val="Título 1 Car"/>
    <w:aliases w:val="Título 3p Car"/>
    <w:basedOn w:val="Fuentedeprrafopredeter"/>
    <w:link w:val="Ttulo1"/>
    <w:uiPriority w:val="9"/>
    <w:rsid w:val="00D732CA"/>
    <w:rPr>
      <w:rFonts w:ascii="Comic Sans MS" w:eastAsiaTheme="majorEastAsia" w:hAnsi="Comic Sans MS" w:cstheme="majorBidi"/>
      <w:color w:val="0F4761" w:themeColor="accent1" w:themeShade="BF"/>
      <w:sz w:val="26"/>
      <w:szCs w:val="32"/>
    </w:rPr>
  </w:style>
  <w:style w:type="character" w:customStyle="1" w:styleId="Ttulo2Car">
    <w:name w:val="Título 2 Car"/>
    <w:aliases w:val="Título ATI Car"/>
    <w:basedOn w:val="Fuentedeprrafopredeter"/>
    <w:link w:val="Ttulo2"/>
    <w:uiPriority w:val="9"/>
    <w:rsid w:val="00845CFA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14826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C4AE4"/>
    <w:rPr>
      <w:rFonts w:ascii="Arial" w:eastAsiaTheme="majorEastAsia" w:hAnsi="Arial" w:cstheme="majorBidi"/>
      <w:b/>
      <w:iCs/>
      <w:lang w:eastAsia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4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401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401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356</Words>
  <Characters>2260</Characters>
  <Application>Microsoft Office Word</Application>
  <DocSecurity>0</DocSecurity>
  <Lines>57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ADRIAN MOLINA CHAVARRIA</dc:creator>
  <cp:keywords/>
  <dc:description/>
  <cp:lastModifiedBy>JOSEPH ADRIAN MOLINA CHAVARRIA</cp:lastModifiedBy>
  <cp:revision>2</cp:revision>
  <dcterms:created xsi:type="dcterms:W3CDTF">2026-04-18T23:44:00Z</dcterms:created>
  <dcterms:modified xsi:type="dcterms:W3CDTF">2026-04-20T22:23:00Z</dcterms:modified>
</cp:coreProperties>
</file>