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6"/>
          <w:szCs w:val="36"/>
        </w:rPr>
        <w:t xml:space="preserve">Working Proposal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Chief AI Officer — Arkline Technologies LLC</w:t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Matt Neal → Rodney Brown  •  May 26, 2026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00" w:line="280"/>
      </w:pPr>
      <w:r>
        <w:t xml:space="preserve">Rodney — here's the shape of what I'm thinking for bringing you on. I want us aligned on the big pieces before either of us spends time on formal docs. Push back on anything that doesn't feel right.</w:t>
      </w:r>
    </w:p>
    <w:p>
      <w:pPr>
        <w:pStyle w:val="Heading2"/>
      </w:pPr>
      <w:r>
        <w:t xml:space="preserve">Role</w:t>
      </w:r>
    </w:p>
    <w:p>
      <w:pPr>
        <w:spacing w:after="100" w:line="280"/>
      </w:pPr>
      <w:r>
        <w:t xml:space="preserve">Chief AI Officer (CAO). You lead AI at Arkline — we're building this together.</w:t>
      </w:r>
    </w:p>
    <w:p>
      <w:pPr>
        <w:pStyle w:val="Heading2"/>
      </w:pPr>
      <w:r>
        <w:t xml:space="preserve">What You'd Own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t xml:space="preserve">AI strategy, architecture, and roadmap for Arkline across every platform — iOS today, Android and desktop next.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t xml:space="preserve">AI agents and automations inside the product, on every platform we ship.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t xml:space="preserve">AI-assisted development workflows we use to build and ship our product.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t xml:space="preserve">Internal founder and team workflows — both how we work today, and an AI-first onboarding playbook for every team member we bring on.</w:t>
      </w:r>
    </w:p>
    <w:p>
      <w:pPr>
        <w:pStyle w:val="Heading2"/>
      </w:pPr>
      <w:r>
        <w:t xml:space="preserve">What We'd Build Together</w:t>
      </w:r>
    </w:p>
    <w:p>
      <w:pPr>
        <w:spacing w:after="100" w:line="280"/>
      </w:pPr>
      <w:r>
        <w:t xml:space="preserve">Brand strategy and brand voice for Arkline. This is something we shape side-by-side.</w:t>
      </w:r>
    </w:p>
    <w:p>
      <w:pPr>
        <w:pStyle w:val="Heading2"/>
      </w:pPr>
      <w:r>
        <w:t xml:space="preserve">Commitment</w:t>
      </w:r>
    </w:p>
    <w:p>
      <w:pPr>
        <w:spacing w:after="100" w:line="280"/>
      </w:pPr>
      <w:r>
        <w:t xml:space="preserve">Last time we talked, you said you were fully committed and going all-in on this — same posture I'm bringing. Just want to confirm that's still where you are before we move forward.</w:t>
      </w:r>
    </w:p>
    <w:p>
      <w:pPr>
        <w:pStyle w:val="Heading2"/>
      </w:pPr>
      <w:r>
        <w:t xml:space="preserve">Equity</w:t>
      </w:r>
    </w:p>
    <w:p>
      <w:pPr>
        <w:spacing w:after="100" w:line="280"/>
      </w:pPr>
      <w:r>
        <w:t xml:space="preserve">10% of the company, granted as profits interests. Vesting: four years with a one-year cliff (nothing vests for the first 12 months; on the one-year anniversary, 25% vests; the remaining 75% vests monthly over the next 3 years).</w:t>
      </w:r>
    </w:p>
    <w:p>
      <w:pPr>
        <w:pStyle w:val="Heading2"/>
      </w:pPr>
      <w:r>
        <w:t xml:space="preserve">Cash Compensation</w:t>
      </w:r>
    </w:p>
    <w:p>
      <w:pPr>
        <w:spacing w:after="100" w:line="280"/>
      </w:pPr>
      <w:r>
        <w:t xml:space="preserve">$0 cash until Arkline hits $25,000 MRR (trailing 90-day average) — same trigger I'm holding myself to. I'm not pulling any profits out of Arkline until we hit that number either. Once we cross it, $3,000/month retainer begins for you. We revisit and adjust comp at the close of our next funding round or once we hit $50,000 MRR — whichever comes first. No back-pay for the unpaid stretch; equity is the consideration for that period.</w:t>
      </w:r>
    </w:p>
    <w:p>
      <w:pPr>
        <w:pStyle w:val="Heading2"/>
      </w:pPr>
      <w:r>
        <w:t xml:space="preserve">What I Need From You</w:t>
      </w:r>
    </w:p>
    <w:p>
      <w:pPr>
        <w:spacing w:after="100" w:line="280"/>
      </w:pPr>
      <w:r>
        <w:t xml:space="preserve">If the above is broadly in the right zip code, let's get on a call and walk through it together. If anything is off — equity number, comp structure, scope, time commitment — tell me before the call so I'm not surprised. I'd rather we both walk in already aligned on the shape.</w:t>
      </w:r>
    </w:p>
    <w:p>
      <w:pPr>
        <w:pBdr>
          <w:top w:val="single" w:color="CCCCCC" w:sz="4" w:space="1"/>
        </w:pBdr>
        <w:spacing w:after="0" w:before="200"/>
      </w:pPr>
      <w:r>
        <w:t xml:space="preserve"/>
      </w:r>
    </w:p>
    <w:p>
      <w:pPr>
        <w:spacing w:before="60"/>
        <w:jc w:val="center"/>
      </w:pPr>
      <w:r>
        <w:rPr>
          <w:i/>
          <w:iCs/>
          <w:color w:val="777777"/>
          <w:sz w:val="16"/>
          <w:szCs w:val="16"/>
        </w:rPr>
        <w:t xml:space="preserve">Non-binding proposal for discussion. Formal agreements to follow once we're aligned.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2026-05-26T16:14:47.521Z</dcterms:created>
  <dcterms:modified xsi:type="dcterms:W3CDTF">2026-05-26T16:14:47.522Z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