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48"/>
          <w:szCs w:val="48"/>
        </w:rPr>
        <w:t xml:space="preserve">TERM SHEET</w:t>
      </w:r>
    </w:p>
    <w:p>
      <w:pPr>
        <w:spacing w:after="0" w:before="120"/>
        <w:jc w:val="center"/>
      </w:pPr>
      <w:r>
        <w:rPr>
          <w:rFonts w:ascii="Arial" w:cs="Arial" w:eastAsia="Arial" w:hAnsi="Arial"/>
          <w:b/>
          <w:bCs/>
          <w:sz w:val="30"/>
          <w:szCs w:val="30"/>
        </w:rPr>
        <w:t xml:space="preserve">Chief AI Officer Role</w:t>
      </w:r>
    </w:p>
    <w:p>
      <w:pPr>
        <w:spacing w:after="0" w:before="80"/>
        <w:jc w:val="center"/>
      </w:pPr>
      <w:r>
        <w:rPr>
          <w:rFonts w:ascii="Arial" w:cs="Arial" w:eastAsia="Arial" w:hAnsi="Arial"/>
          <w:sz w:val="24"/>
          <w:szCs w:val="24"/>
        </w:rPr>
        <w:t xml:space="preserve">Arkline Technologies LLC</w:t>
      </w:r>
    </w:p>
    <w:p>
      <w:pPr>
        <w:spacing w:after="240" w:before="80"/>
        <w:jc w:val="center"/>
      </w:pPr>
      <w:r>
        <w:rPr>
          <w:rFonts w:ascii="Arial" w:cs="Arial" w:eastAsia="Arial" w:hAnsi="Arial"/>
          <w:i/>
          <w:iCs/>
          <w:color w:val="555555"/>
          <w:sz w:val="20"/>
          <w:szCs w:val="20"/>
        </w:rPr>
        <w:t xml:space="preserve">Non-Binding Outline for Discussion  •  May 26, 2026</w:t>
      </w:r>
    </w:p>
    <w:p>
      <w:pPr>
        <w:pBdr>
          <w:bottom w:val="single" w:color="2E75B6" w:sz="6" w:space="1"/>
        </w:pBdr>
        <w:spacing w:after="200"/>
      </w:pPr>
      <w:r>
        <w:t xml:space="preserve"/>
      </w:r>
    </w:p>
    <w:p>
      <w:pPr>
        <w:spacing w:after="140" w:line="300"/>
      </w:pPr>
      <w:r>
        <w:t xml:space="preserve">This document outlines the proposed terms for Rodney Brown to join Arkline Technologies LLC ("Arkline" or the "Company") as Chief AI Officer ("CAO"). It is a non-binding summary intended to facilitate discussion. Definitive terms will be set forth in formal written agreements drafted and reviewed by legal counsel and executed by both parties.</w:t>
      </w:r>
    </w:p>
    <w:p>
      <w:pPr>
        <w:pStyle w:val="Heading2"/>
      </w:pPr>
      <w:r>
        <w:t xml:space="preserve">1. Parties</w:t>
      </w:r>
    </w:p>
    <w:p>
      <w:pPr>
        <w:pStyle w:val="ListParagraph"/>
        <w:numPr>
          <w:ilvl w:val="0"/>
          <w:numId w:val="2"/>
        </w:numPr>
        <w:spacing w:after="80" w:line="300"/>
      </w:pPr>
      <w:r>
        <w:rPr>
          <w:b/>
          <w:bCs/>
        </w:rPr>
        <w:t xml:space="preserve">The Company: </w:t>
      </w:r>
      <w:r>
        <w:t xml:space="preserve">Arkline Technologies LLC, a Wyoming limited liability company.</w:t>
      </w:r>
    </w:p>
    <w:p>
      <w:pPr>
        <w:pStyle w:val="ListParagraph"/>
        <w:numPr>
          <w:ilvl w:val="0"/>
          <w:numId w:val="2"/>
        </w:numPr>
        <w:spacing w:after="80" w:line="300"/>
      </w:pPr>
      <w:r>
        <w:rPr>
          <w:b/>
          <w:bCs/>
        </w:rPr>
        <w:t xml:space="preserve">Founder &amp; CEO: </w:t>
      </w:r>
      <w:r>
        <w:t xml:space="preserve">Matt Neal.</w:t>
      </w:r>
    </w:p>
    <w:p>
      <w:pPr>
        <w:pStyle w:val="ListParagraph"/>
        <w:numPr>
          <w:ilvl w:val="0"/>
          <w:numId w:val="2"/>
        </w:numPr>
        <w:spacing w:after="80" w:line="300"/>
      </w:pPr>
      <w:r>
        <w:rPr>
          <w:b/>
          <w:bCs/>
        </w:rPr>
        <w:t xml:space="preserve">Proposed Chief AI Officer: </w:t>
      </w:r>
      <w:r>
        <w:t xml:space="preserve">Rodney Brown.</w:t>
      </w:r>
    </w:p>
    <w:p>
      <w:pPr>
        <w:pStyle w:val="Heading2"/>
      </w:pPr>
      <w:r>
        <w:t xml:space="preserve">2. Role and Title</w:t>
      </w:r>
    </w:p>
    <w:p>
      <w:pPr>
        <w:pStyle w:val="ListParagraph"/>
        <w:numPr>
          <w:ilvl w:val="0"/>
          <w:numId w:val="2"/>
        </w:numPr>
        <w:spacing w:after="80" w:line="300"/>
      </w:pPr>
      <w:r>
        <w:rPr>
          <w:b/>
          <w:bCs/>
        </w:rPr>
        <w:t xml:space="preserve">Title: </w:t>
      </w:r>
      <w:r>
        <w:t xml:space="preserve">Chief AI Officer ("CAO").</w:t>
      </w:r>
    </w:p>
    <w:p>
      <w:pPr>
        <w:pStyle w:val="ListParagraph"/>
        <w:numPr>
          <w:ilvl w:val="0"/>
          <w:numId w:val="2"/>
        </w:numPr>
        <w:spacing w:after="80" w:line="300"/>
      </w:pPr>
      <w:r>
        <w:rPr>
          <w:b/>
          <w:bCs/>
        </w:rPr>
        <w:t xml:space="preserve">Co-founder designation: </w:t>
      </w:r>
      <w:r>
        <w:t xml:space="preserve">To be discussed — see Section 14.</w:t>
      </w:r>
    </w:p>
    <w:p>
      <w:pPr>
        <w:pStyle w:val="ListParagraph"/>
        <w:numPr>
          <w:ilvl w:val="0"/>
          <w:numId w:val="2"/>
        </w:numPr>
        <w:spacing w:after="80" w:line="300"/>
      </w:pPr>
      <w:r>
        <w:rPr>
          <w:b/>
          <w:bCs/>
        </w:rPr>
        <w:t xml:space="preserve">Reports to: </w:t>
      </w:r>
      <w:r>
        <w:t xml:space="preserve">Matt Neal, Founder &amp; CEO.</w:t>
      </w:r>
    </w:p>
    <w:p>
      <w:pPr>
        <w:pStyle w:val="Heading2"/>
      </w:pPr>
      <w:r>
        <w:t xml:space="preserve">3. Scope of Responsibility</w:t>
      </w:r>
    </w:p>
    <w:p>
      <w:pPr>
        <w:spacing w:after="140" w:line="300"/>
      </w:pPr>
      <w:r>
        <w:t xml:space="preserve">The CAO will own, and have full operational authority over, the following functional areas:</w:t>
      </w:r>
    </w:p>
    <w:p>
      <w:pPr>
        <w:pStyle w:val="ListParagraph"/>
        <w:numPr>
          <w:ilvl w:val="0"/>
          <w:numId w:val="2"/>
        </w:numPr>
        <w:spacing w:after="80" w:line="300"/>
      </w:pPr>
      <w:r>
        <w:t xml:space="preserve">AI strategy, architecture, and roadmap for Arkline.</w:t>
      </w:r>
    </w:p>
    <w:p>
      <w:pPr>
        <w:pStyle w:val="ListParagraph"/>
        <w:numPr>
          <w:ilvl w:val="0"/>
          <w:numId w:val="2"/>
        </w:numPr>
        <w:spacing w:after="80" w:line="300"/>
      </w:pPr>
      <w:r>
        <w:t xml:space="preserve">Design, implementation, and ongoing operation of AI agents and automations integrated into the Arkline iOS application.</w:t>
      </w:r>
    </w:p>
    <w:p>
      <w:pPr>
        <w:pStyle w:val="ListParagraph"/>
        <w:numPr>
          <w:ilvl w:val="0"/>
          <w:numId w:val="2"/>
        </w:numPr>
        <w:spacing w:after="80" w:line="300"/>
      </w:pPr>
      <w:r>
        <w:t xml:space="preserve">AI-assisted development workflows used to build and ship Arkline's product.</w:t>
      </w:r>
    </w:p>
    <w:p>
      <w:pPr>
        <w:pStyle w:val="ListParagraph"/>
        <w:numPr>
          <w:ilvl w:val="0"/>
          <w:numId w:val="2"/>
        </w:numPr>
        <w:spacing w:after="80" w:line="300"/>
      </w:pPr>
      <w:r>
        <w:t xml:space="preserve">Internal founder and team workflows that leverage AI to scale operations.</w:t>
      </w:r>
    </w:p>
    <w:p>
      <w:pPr>
        <w:spacing w:after="140" w:line="300"/>
      </w:pPr>
      <w:r>
        <w:t xml:space="preserve">Authority over all matters outside the CAO's scope — including but not limited to product direction, fundraising, hiring decisions outside the AI function, finance, legal, marketing, and partnerships — remains with the Founder &amp; CEO.</w:t>
      </w:r>
    </w:p>
    <w:p>
      <w:pPr>
        <w:pStyle w:val="Heading2"/>
      </w:pPr>
      <w:r>
        <w:t xml:space="preserve">4. Time Commitment</w:t>
      </w:r>
    </w:p>
    <w:p>
      <w:pPr>
        <w:pStyle w:val="ListParagraph"/>
        <w:numPr>
          <w:ilvl w:val="0"/>
          <w:numId w:val="2"/>
        </w:numPr>
        <w:spacing w:after="80" w:line="300"/>
      </w:pPr>
      <w:r>
        <w:t xml:space="preserve">Full-time engagement (minimum 35 hours per week), with Arkline as the CAO's primary professional engagement.</w:t>
      </w:r>
    </w:p>
    <w:p>
      <w:pPr>
        <w:pStyle w:val="ListParagraph"/>
        <w:numPr>
          <w:ilvl w:val="0"/>
          <w:numId w:val="2"/>
        </w:numPr>
        <w:spacing w:after="80" w:line="300"/>
      </w:pPr>
      <w:r>
        <w:t xml:space="preserve">Outside engagements (consulting, advising, board roles) are permitted only with prior written approval of the Founder &amp; CEO, and only where they do not compete with Arkline or create a conflict of interest.</w:t>
      </w:r>
    </w:p>
    <w:p>
      <w:pPr>
        <w:pStyle w:val="Heading2"/>
      </w:pPr>
      <w:r>
        <w:t xml:space="preserve">5. Equity Grant</w:t>
      </w:r>
    </w:p>
    <w:p>
      <w:pPr>
        <w:pStyle w:val="ListParagraph"/>
        <w:numPr>
          <w:ilvl w:val="0"/>
          <w:numId w:val="2"/>
        </w:numPr>
        <w:spacing w:after="80" w:line="300"/>
      </w:pPr>
      <w:r>
        <w:rPr>
          <w:b/>
          <w:bCs/>
        </w:rPr>
        <w:t xml:space="preserve">Amount: </w:t>
      </w:r>
      <w:r>
        <w:t xml:space="preserve">Ten percent (10.00%) of fully-diluted membership interests in Arkline Technologies LLC.</w:t>
      </w:r>
    </w:p>
    <w:p>
      <w:pPr>
        <w:pStyle w:val="ListParagraph"/>
        <w:numPr>
          <w:ilvl w:val="0"/>
          <w:numId w:val="2"/>
        </w:numPr>
        <w:spacing w:after="80" w:line="300"/>
      </w:pPr>
      <w:r>
        <w:rPr>
          <w:b/>
          <w:bCs/>
        </w:rPr>
        <w:t xml:space="preserve">Form: </w:t>
      </w:r>
      <w:r>
        <w:t xml:space="preserve">Profits interests (not capital interests), granted at fair market value as of the grant date, intended to qualify under IRS Rev. Proc. 93-27 and Rev. Proc. 2001-43.</w:t>
      </w:r>
    </w:p>
    <w:p>
      <w:pPr>
        <w:pStyle w:val="ListParagraph"/>
        <w:numPr>
          <w:ilvl w:val="0"/>
          <w:numId w:val="2"/>
        </w:numPr>
        <w:spacing w:after="80" w:line="300"/>
      </w:pPr>
      <w:r>
        <w:rPr>
          <w:b/>
          <w:bCs/>
        </w:rPr>
        <w:t xml:space="preserve">Section 83(b) Election: </w:t>
      </w:r>
      <w:r>
        <w:t xml:space="preserve">Recipient agrees to file a timely Section 83(b) election within thirty (30) days of grant.</w:t>
      </w:r>
    </w:p>
    <w:p>
      <w:pPr>
        <w:pStyle w:val="Heading2"/>
      </w:pPr>
      <w:r>
        <w:t xml:space="preserve">6. Vesting</w:t>
      </w:r>
    </w:p>
    <w:p>
      <w:pPr>
        <w:pStyle w:val="ListParagraph"/>
        <w:numPr>
          <w:ilvl w:val="0"/>
          <w:numId w:val="2"/>
        </w:numPr>
        <w:spacing w:after="80" w:line="300"/>
      </w:pPr>
      <w:r>
        <w:rPr>
          <w:b/>
          <w:bCs/>
        </w:rPr>
        <w:t xml:space="preserve">Vesting Period: </w:t>
      </w:r>
      <w:r>
        <w:t xml:space="preserve">Four (4) years total.</w:t>
      </w:r>
    </w:p>
    <w:p>
      <w:pPr>
        <w:pStyle w:val="ListParagraph"/>
        <w:numPr>
          <w:ilvl w:val="0"/>
          <w:numId w:val="2"/>
        </w:numPr>
        <w:spacing w:after="80" w:line="300"/>
      </w:pPr>
      <w:r>
        <w:rPr>
          <w:b/>
          <w:bCs/>
        </w:rPr>
        <w:t xml:space="preserve">Cliff: </w:t>
      </w:r>
      <w:r>
        <w:t xml:space="preserve">One (1) year. No interests vest before the first anniversary of the start date. On the one-year anniversary, 25% of the grant vests.</w:t>
      </w:r>
    </w:p>
    <w:p>
      <w:pPr>
        <w:pStyle w:val="ListParagraph"/>
        <w:numPr>
          <w:ilvl w:val="0"/>
          <w:numId w:val="2"/>
        </w:numPr>
        <w:spacing w:after="80" w:line="300"/>
      </w:pPr>
      <w:r>
        <w:rPr>
          <w:b/>
          <w:bCs/>
        </w:rPr>
        <w:t xml:space="preserve">Post-Cliff: </w:t>
      </w:r>
      <w:r>
        <w:t xml:space="preserve">The remaining 75% vests in thirty-six (36) equal monthly installments over the following three years.</w:t>
      </w:r>
    </w:p>
    <w:p>
      <w:pPr>
        <w:pStyle w:val="ListParagraph"/>
        <w:numPr>
          <w:ilvl w:val="0"/>
          <w:numId w:val="2"/>
        </w:numPr>
        <w:spacing w:after="80" w:line="300"/>
      </w:pPr>
      <w:r>
        <w:rPr>
          <w:b/>
          <w:bCs/>
        </w:rPr>
        <w:t xml:space="preserve">Forfeiture: </w:t>
      </w:r>
      <w:r>
        <w:t xml:space="preserve">All unvested interests are forfeited and returned to the Company upon any departure prior to full vesting.</w:t>
      </w:r>
    </w:p>
    <w:p>
      <w:pPr>
        <w:pStyle w:val="Heading2"/>
      </w:pPr>
      <w:r>
        <w:t xml:space="preserve">7. Cash Compensation — Deferred Structure</w:t>
      </w:r>
    </w:p>
    <w:p>
      <w:pPr>
        <w:pStyle w:val="ListParagraph"/>
        <w:numPr>
          <w:ilvl w:val="0"/>
          <w:numId w:val="2"/>
        </w:numPr>
        <w:spacing w:after="80" w:line="300"/>
      </w:pPr>
      <w:r>
        <w:rPr>
          <w:b/>
          <w:bCs/>
        </w:rPr>
        <w:t xml:space="preserve">Initial Period: </w:t>
      </w:r>
      <w:r>
        <w:t xml:space="preserve">No cash compensation. The equity grant in Section 5 is the sole consideration during the deferred period.</w:t>
      </w:r>
    </w:p>
    <w:p>
      <w:pPr>
        <w:spacing w:after="140" w:line="300"/>
      </w:pPr>
      <w:r>
        <w:rPr>
          <w:b/>
          <w:bCs/>
        </w:rPr>
        <w:t xml:space="preserve">Trigger: </w:t>
      </w:r>
      <w:r>
        <w:t xml:space="preserve">Cash compensation begins on the earliest of:</w:t>
      </w:r>
    </w:p>
    <w:p>
      <w:pPr>
        <w:pStyle w:val="ListParagraph"/>
        <w:numPr>
          <w:ilvl w:val="0"/>
          <w:numId w:val="2"/>
        </w:numPr>
        <w:spacing w:after="80" w:line="300"/>
      </w:pPr>
      <w:r>
        <w:t xml:space="preserve">(a) The Company achieving $25,000 in trailing 90-day average monthly recurring revenue (MRR); or</w:t>
      </w:r>
    </w:p>
    <w:p>
      <w:pPr>
        <w:pStyle w:val="ListParagraph"/>
        <w:numPr>
          <w:ilvl w:val="0"/>
          <w:numId w:val="2"/>
        </w:numPr>
        <w:spacing w:after="80" w:line="300"/>
      </w:pPr>
      <w:r>
        <w:t xml:space="preserve">(b) The closing of a priced equity financing of at least $[___]; or</w:t>
      </w:r>
    </w:p>
    <w:p>
      <w:pPr>
        <w:pStyle w:val="ListParagraph"/>
        <w:numPr>
          <w:ilvl w:val="0"/>
          <w:numId w:val="2"/>
        </w:numPr>
        <w:spacing w:after="80" w:line="300"/>
      </w:pPr>
      <w:r>
        <w:t xml:space="preserve">(c) Such other trigger as mutually agreed in writing.</w:t>
      </w:r>
    </w:p>
    <w:p>
      <w:pPr>
        <w:pStyle w:val="ListParagraph"/>
        <w:numPr>
          <w:ilvl w:val="0"/>
          <w:numId w:val="2"/>
        </w:numPr>
        <w:spacing w:after="80" w:line="300"/>
      </w:pPr>
      <w:r>
        <w:rPr>
          <w:b/>
          <w:bCs/>
        </w:rPr>
        <w:t xml:space="preserve">Initial Post-Trigger Compensation: </w:t>
      </w:r>
      <w:r>
        <w:t xml:space="preserve">$36,000 per year, paid as a retainer of $3,000 per month, subject to review at the close of the next funding round or upon the Company reaching $50,000 in trailing 90-day average MRR, whichever occurs first.</w:t>
      </w:r>
    </w:p>
    <w:p>
      <w:pPr>
        <w:pStyle w:val="ListParagraph"/>
        <w:numPr>
          <w:ilvl w:val="0"/>
          <w:numId w:val="2"/>
        </w:numPr>
        <w:spacing w:after="80" w:line="300"/>
      </w:pPr>
      <w:r>
        <w:rPr>
          <w:b/>
          <w:bCs/>
        </w:rPr>
        <w:t xml:space="preserve">No Accrued Back Pay: </w:t>
      </w:r>
      <w:r>
        <w:t xml:space="preserve">The deferred period does not accrue as deferred salary or as a liability of the Company. The equity grant constitutes full and final compensation for the deferred period.</w:t>
      </w:r>
    </w:p>
    <w:p>
      <w:pPr>
        <w:pStyle w:val="Heading2"/>
      </w:pPr>
      <w:r>
        <w:t xml:space="preserve">8. Benefits (Post-Trigger)</w:t>
      </w:r>
    </w:p>
    <w:p>
      <w:pPr>
        <w:pStyle w:val="ListParagraph"/>
        <w:numPr>
          <w:ilvl w:val="0"/>
          <w:numId w:val="2"/>
        </w:numPr>
        <w:spacing w:after="80" w:line="300"/>
      </w:pPr>
      <w:r>
        <w:t xml:space="preserve">Standard benefits package consistent with Company policy in effect at the time of trigger, including health insurance contribution, paid time off, and other benefits offered to similarly situated team members.</w:t>
      </w:r>
    </w:p>
    <w:p>
      <w:pPr>
        <w:pStyle w:val="Heading2"/>
      </w:pPr>
      <w:r>
        <w:t xml:space="preserve">9. Intellectual Property Assignment</w:t>
      </w:r>
    </w:p>
    <w:p>
      <w:pPr>
        <w:pStyle w:val="ListParagraph"/>
        <w:numPr>
          <w:ilvl w:val="0"/>
          <w:numId w:val="2"/>
        </w:numPr>
        <w:spacing w:after="80" w:line="300"/>
      </w:pPr>
      <w:r>
        <w:t xml:space="preserve">All work product, source code, designs, prompts, agents, workflows, models, fine-tunes, datasets, and documentation created by the CAO in connection with the role at Arkline are the sole and exclusive property of Arkline.</w:t>
      </w:r>
    </w:p>
    <w:p>
      <w:pPr>
        <w:pStyle w:val="ListParagraph"/>
        <w:numPr>
          <w:ilvl w:val="0"/>
          <w:numId w:val="2"/>
        </w:numPr>
        <w:spacing w:after="80" w:line="300"/>
      </w:pPr>
      <w:r>
        <w:t xml:space="preserve">This assignment expressly includes any work product generated, in whole or in part, with the assistance of AI tools or third-party models used by the CAO.</w:t>
      </w:r>
    </w:p>
    <w:p>
      <w:pPr>
        <w:pStyle w:val="ListParagraph"/>
        <w:numPr>
          <w:ilvl w:val="0"/>
          <w:numId w:val="2"/>
        </w:numPr>
        <w:spacing w:after="80" w:line="300"/>
      </w:pPr>
      <w:r>
        <w:t xml:space="preserve">Pre-existing IP owned by the CAO and disclosed in writing prior to the start date is excluded from this assignment; however, to the extent any such pre-existing IP is incorporated into Arkline's product, it shall be subject to a perpetual, irrevocable, royalty-free license to the Company.</w:t>
      </w:r>
    </w:p>
    <w:p>
      <w:pPr>
        <w:pStyle w:val="Heading2"/>
      </w:pPr>
      <w:r>
        <w:t xml:space="preserve">10. Confidentiality and Restrictive Covenants</w:t>
      </w:r>
    </w:p>
    <w:p>
      <w:pPr>
        <w:pStyle w:val="ListParagraph"/>
        <w:numPr>
          <w:ilvl w:val="0"/>
          <w:numId w:val="2"/>
        </w:numPr>
        <w:spacing w:after="80" w:line="300"/>
      </w:pPr>
      <w:r>
        <w:rPr>
          <w:b/>
          <w:bCs/>
        </w:rPr>
        <w:t xml:space="preserve">Confidentiality: </w:t>
      </w:r>
      <w:r>
        <w:t xml:space="preserve">Standard, indefinite obligation to protect Arkline's confidential information.</w:t>
      </w:r>
    </w:p>
    <w:p>
      <w:pPr>
        <w:pStyle w:val="ListParagraph"/>
        <w:numPr>
          <w:ilvl w:val="0"/>
          <w:numId w:val="2"/>
        </w:numPr>
        <w:spacing w:after="80" w:line="300"/>
      </w:pPr>
      <w:r>
        <w:rPr>
          <w:b/>
          <w:bCs/>
        </w:rPr>
        <w:t xml:space="preserve">Non-Solicitation: </w:t>
      </w:r>
      <w:r>
        <w:t xml:space="preserve">During engagement and for twelve (12) months following departure, the CAO will not solicit Arkline employees, contractors, or customers.</w:t>
      </w:r>
    </w:p>
    <w:p>
      <w:pPr>
        <w:pStyle w:val="ListParagraph"/>
        <w:numPr>
          <w:ilvl w:val="0"/>
          <w:numId w:val="2"/>
        </w:numPr>
        <w:spacing w:after="80" w:line="300"/>
      </w:pPr>
      <w:r>
        <w:rPr>
          <w:b/>
          <w:bCs/>
        </w:rPr>
        <w:t xml:space="preserve">Non-Compete: </w:t>
      </w:r>
      <w:r>
        <w:t xml:space="preserve">To be negotiated, limited to what is enforceable under applicable law.</w:t>
      </w:r>
    </w:p>
    <w:p>
      <w:pPr>
        <w:pStyle w:val="Heading2"/>
      </w:pPr>
      <w:r>
        <w:t xml:space="preserve">11. Termination</w:t>
      </w:r>
    </w:p>
    <w:p>
      <w:pPr>
        <w:pStyle w:val="ListParagraph"/>
        <w:numPr>
          <w:ilvl w:val="0"/>
          <w:numId w:val="2"/>
        </w:numPr>
        <w:spacing w:after="80" w:line="300"/>
      </w:pPr>
      <w:r>
        <w:rPr>
          <w:b/>
          <w:bCs/>
        </w:rPr>
        <w:t xml:space="preserve">For Cause: </w:t>
      </w:r>
      <w:r>
        <w:t xml:space="preserve">Upon termination for cause (defined in the definitive agreement to include fraud, gross misconduct, breach of fiduciary duty, or material uncured breach of agreement), all unvested interests are forfeited.</w:t>
      </w:r>
    </w:p>
    <w:p>
      <w:pPr>
        <w:pStyle w:val="ListParagraph"/>
        <w:numPr>
          <w:ilvl w:val="0"/>
          <w:numId w:val="2"/>
        </w:numPr>
        <w:spacing w:after="80" w:line="300"/>
      </w:pPr>
      <w:r>
        <w:rPr>
          <w:b/>
          <w:bCs/>
        </w:rPr>
        <w:t xml:space="preserve">Without Cause: </w:t>
      </w:r>
      <w:r>
        <w:t xml:space="preserve">Upon termination without cause, vested interests are retained. Any acceleration is governed by Section 12.</w:t>
      </w:r>
    </w:p>
    <w:p>
      <w:pPr>
        <w:pStyle w:val="ListParagraph"/>
        <w:numPr>
          <w:ilvl w:val="0"/>
          <w:numId w:val="2"/>
        </w:numPr>
        <w:spacing w:after="80" w:line="300"/>
      </w:pPr>
      <w:r>
        <w:rPr>
          <w:b/>
          <w:bCs/>
        </w:rPr>
        <w:t xml:space="preserve">Voluntary Resignation: </w:t>
      </w:r>
      <w:r>
        <w:t xml:space="preserve">Unvested interests are forfeited; vested interests are retained.</w:t>
      </w:r>
    </w:p>
    <w:p>
      <w:pPr>
        <w:pStyle w:val="ListParagraph"/>
        <w:numPr>
          <w:ilvl w:val="0"/>
          <w:numId w:val="2"/>
        </w:numPr>
        <w:spacing w:after="80" w:line="300"/>
      </w:pPr>
      <w:r>
        <w:rPr>
          <w:b/>
          <w:bCs/>
        </w:rPr>
        <w:t xml:space="preserve">Death or Disability: </w:t>
      </w:r>
      <w:r>
        <w:t xml:space="preserve">Vesting accelerates by an additional twelve (12) months of credit.</w:t>
      </w:r>
    </w:p>
    <w:p>
      <w:pPr>
        <w:pStyle w:val="Heading2"/>
      </w:pPr>
      <w:r>
        <w:t xml:space="preserve">12. Acceleration on Change of Control</w:t>
      </w:r>
    </w:p>
    <w:p>
      <w:pPr>
        <w:pStyle w:val="ListParagraph"/>
        <w:numPr>
          <w:ilvl w:val="0"/>
          <w:numId w:val="2"/>
        </w:numPr>
        <w:spacing w:after="80" w:line="300"/>
      </w:pPr>
      <w:r>
        <w:rPr>
          <w:b/>
          <w:bCs/>
        </w:rPr>
        <w:t xml:space="preserve">Double-Trigger Acceleration: </w:t>
      </w:r>
      <w:r>
        <w:t xml:space="preserve">If, within twelve (12) months following a change of control of the Company, the CAO is terminated without cause or resigns for good reason, one hundred percent (100%) of any then-unvested interests immediately vest.</w:t>
      </w:r>
    </w:p>
    <w:p>
      <w:pPr>
        <w:pStyle w:val="Heading2"/>
      </w:pPr>
      <w:r>
        <w:t xml:space="preserve">13. Tax Considerations</w:t>
      </w:r>
    </w:p>
    <w:p>
      <w:pPr>
        <w:pStyle w:val="ListParagraph"/>
        <w:numPr>
          <w:ilvl w:val="0"/>
          <w:numId w:val="2"/>
        </w:numPr>
        <w:spacing w:after="80" w:line="300"/>
      </w:pPr>
      <w:r>
        <w:t xml:space="preserve">Properly structured profits interests are intended to be tax-free at grant. The Company will support the CAO's tax filings (including coordinating timing of the 83(b) election) but does not provide individual tax advice. The CAO is responsible for engaging independent tax counsel.</w:t>
      </w:r>
    </w:p>
    <w:p>
      <w:pPr>
        <w:pStyle w:val="Heading2"/>
      </w:pPr>
      <w:r>
        <w:t xml:space="preserve">14. Co-Founder Designation</w:t>
      </w:r>
    </w:p>
    <w:p>
      <w:pPr>
        <w:pStyle w:val="ListParagraph"/>
        <w:numPr>
          <w:ilvl w:val="0"/>
          <w:numId w:val="2"/>
        </w:numPr>
        <w:spacing w:after="80" w:line="300"/>
      </w:pPr>
      <w:r>
        <w:t xml:space="preserve">The parties acknowledge that the CAO's full-time commitment, equity-only compensation during the deferred period, and ownership of a strategic functional domain are commensurate with co-founder-level responsibilities.</w:t>
      </w:r>
    </w:p>
    <w:p>
      <w:pPr>
        <w:pStyle w:val="ListParagraph"/>
        <w:numPr>
          <w:ilvl w:val="0"/>
          <w:numId w:val="2"/>
        </w:numPr>
        <w:spacing w:after="80" w:line="300"/>
      </w:pPr>
      <w:r>
        <w:t xml:space="preserve">Use of the title "Co-founder" — alone or in combination with "Chief AI Officer" — in external communications (LinkedIn, public profiles, press, investor materials) is [permitted / subject to mutual approval] and shall be reflected in the definitive agreement.</w:t>
      </w:r>
    </w:p>
    <w:p>
      <w:pPr>
        <w:pStyle w:val="Heading2"/>
      </w:pPr>
      <w:r>
        <w:t xml:space="preserve">15. Future C-Corp Conversion</w:t>
      </w:r>
    </w:p>
    <w:p>
      <w:pPr>
        <w:pStyle w:val="ListParagraph"/>
        <w:numPr>
          <w:ilvl w:val="0"/>
          <w:numId w:val="2"/>
        </w:numPr>
        <w:spacing w:after="80" w:line="300"/>
      </w:pPr>
      <w:r>
        <w:t xml:space="preserve">If the Company converts from a Wyoming LLC to a Delaware C-corporation (as is commonly required for institutional venture financing), the CAO's profits interests will convert into common stock or restricted stock of equivalent economic value, preserving the original vesting schedule and any vested portion.</w:t>
      </w:r>
    </w:p>
    <w:p>
      <w:pPr>
        <w:pStyle w:val="Heading2"/>
      </w:pPr>
      <w:r>
        <w:t xml:space="preserve">16. Conditions Precedent</w:t>
      </w:r>
    </w:p>
    <w:p>
      <w:pPr>
        <w:spacing w:after="140" w:line="300"/>
      </w:pPr>
      <w:r>
        <w:t xml:space="preserve">This term sheet is expressly subject to:</w:t>
      </w:r>
    </w:p>
    <w:p>
      <w:pPr>
        <w:pStyle w:val="ListParagraph"/>
        <w:numPr>
          <w:ilvl w:val="0"/>
          <w:numId w:val="2"/>
        </w:numPr>
        <w:spacing w:after="80" w:line="300"/>
      </w:pPr>
      <w:r>
        <w:t xml:space="preserve">Execution of definitive written agreements, including an Employment or Consulting Agreement, a Profits Interest Grant Agreement (or equivalent), an Intellectual Property Assignment Agreement, and a Confidentiality Agreement.</w:t>
      </w:r>
    </w:p>
    <w:p>
      <w:pPr>
        <w:pStyle w:val="ListParagraph"/>
        <w:numPr>
          <w:ilvl w:val="0"/>
          <w:numId w:val="2"/>
        </w:numPr>
        <w:spacing w:after="80" w:line="300"/>
      </w:pPr>
      <w:r>
        <w:t xml:space="preserve">Review and approval by legal counsel.</w:t>
      </w:r>
    </w:p>
    <w:p>
      <w:pPr>
        <w:pStyle w:val="ListParagraph"/>
        <w:numPr>
          <w:ilvl w:val="0"/>
          <w:numId w:val="2"/>
        </w:numPr>
        <w:spacing w:after="80" w:line="300"/>
      </w:pPr>
      <w:r>
        <w:t xml:space="preserve">Mutual agreement on the financing trigger amount and the Co-Founder title treatment (Section 14), each currently shown in brackets.</w:t>
      </w:r>
    </w:p>
    <w:p>
      <w:pPr>
        <w:pStyle w:val="Heading2"/>
      </w:pPr>
      <w:r>
        <w:t xml:space="preserve">17. Next Steps</w:t>
      </w:r>
    </w:p>
    <w:p>
      <w:pPr>
        <w:pStyle w:val="ListParagraph"/>
        <w:numPr>
          <w:ilvl w:val="0"/>
          <w:numId w:val="3"/>
        </w:numPr>
        <w:spacing w:after="80" w:line="300"/>
      </w:pPr>
      <w:r>
        <w:t xml:space="preserve">Candidate reviews this outline and provides feedback or questions.</w:t>
      </w:r>
    </w:p>
    <w:p>
      <w:pPr>
        <w:pStyle w:val="ListParagraph"/>
        <w:numPr>
          <w:ilvl w:val="0"/>
          <w:numId w:val="3"/>
        </w:numPr>
        <w:spacing w:after="80" w:line="300"/>
      </w:pPr>
      <w:r>
        <w:t xml:space="preserve">Founder and candidate align on the remaining bracketed specifics (financing trigger, co-founder title treatment).</w:t>
      </w:r>
    </w:p>
    <w:p>
      <w:pPr>
        <w:pStyle w:val="ListParagraph"/>
        <w:numPr>
          <w:ilvl w:val="0"/>
          <w:numId w:val="3"/>
        </w:numPr>
        <w:spacing w:after="80" w:line="300"/>
      </w:pPr>
      <w:r>
        <w:t xml:space="preserve">Arkline engages startup counsel to draft definitive agreements.</w:t>
      </w:r>
    </w:p>
    <w:p>
      <w:pPr>
        <w:pStyle w:val="ListParagraph"/>
        <w:numPr>
          <w:ilvl w:val="0"/>
          <w:numId w:val="3"/>
        </w:numPr>
        <w:spacing w:after="80" w:line="300"/>
      </w:pPr>
      <w:r>
        <w:t xml:space="preserve">Both parties review, negotiate, and execute definitive agreements.</w:t>
      </w:r>
    </w:p>
    <w:p>
      <w:pPr>
        <w:pStyle w:val="ListParagraph"/>
        <w:numPr>
          <w:ilvl w:val="0"/>
          <w:numId w:val="3"/>
        </w:numPr>
        <w:spacing w:after="80" w:line="300"/>
      </w:pPr>
      <w:r>
        <w:t xml:space="preserve">Section 83(b) election filed within thirty (30) days of grant.</w:t>
      </w:r>
    </w:p>
    <w:p>
      <w:pPr>
        <w:pBdr>
          <w:top w:val="single" w:color="CCCCCC" w:sz="6" w:space="1"/>
        </w:pBdr>
        <w:spacing w:after="120" w:before="360"/>
      </w:pPr>
      <w:r>
        <w:t xml:space="preserve"/>
      </w:r>
    </w:p>
    <w:p>
      <w:pPr>
        <w:spacing w:after="120" w:line="280"/>
      </w:pPr>
      <w:r>
        <w:rPr>
          <w:b/>
          <w:bCs/>
          <w:i/>
          <w:iCs/>
          <w:sz w:val="18"/>
          <w:szCs w:val="18"/>
        </w:rPr>
        <w:t xml:space="preserve">Disclaimer. </w:t>
      </w:r>
      <w:r>
        <w:rPr>
          <w:i/>
          <w:iCs/>
          <w:sz w:val="18"/>
          <w:szCs w:val="18"/>
        </w:rPr>
        <w:t xml:space="preserve">This document is a non-binding summary for discussion purposes only. It is not a contract and does not create any legal obligation on either party. Nothing in this document should be relied upon until definitive agreements are executed by both parties. Each party should consult independent legal and tax counsel before executing any definitive agreement.</w:t>
      </w:r>
    </w:p>
    <w:p>
      <w:pPr>
        <w:spacing w:after="80" w:before="360"/>
      </w:pPr>
      <w:r>
        <w:rPr>
          <w:b/>
          <w:bCs/>
          <w:sz w:val="22"/>
          <w:szCs w:val="22"/>
        </w:rPr>
        <w:t xml:space="preserve">Acknowledged for Discussion (non-binding):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40"/>
              <w:left w:type="dxa" w:w="80"/>
              <w:bottom w:type="dxa" w:w="80"/>
              <w:right w:type="dxa" w:w="120"/>
            </w:tcMar>
          </w:tcPr>
          <w:p>
            <w:pPr>
              <w:pBdr>
                <w:bottom w:val="single" w:color="888888" w:sz="6" w:space="8"/>
              </w:pBdr>
              <w:spacing w:after="60"/>
            </w:pPr>
            <w:r>
              <w:t xml:space="preserve"/>
            </w:r>
          </w:p>
          <w:p>
            <w:r>
              <w:rPr>
                <w:b/>
                <w:bCs/>
                <w:sz w:val="22"/>
                <w:szCs w:val="22"/>
              </w:rPr>
              <w:t xml:space="preserve">Matt Neal</w:t>
            </w:r>
          </w:p>
          <w:p>
            <w:r>
              <w:rPr>
                <w:color w:val="555555"/>
                <w:sz w:val="18"/>
                <w:szCs w:val="18"/>
              </w:rPr>
              <w:t xml:space="preserve">Founder &amp; CEO, Arkline Technologies LLC</w:t>
            </w:r>
          </w:p>
          <w:p>
            <w:pPr>
              <w:spacing w:before="120"/>
            </w:pPr>
            <w:r>
              <w:rPr>
                <w:sz w:val="18"/>
                <w:szCs w:val="18"/>
              </w:rPr>
              <w:t xml:space="preserve">Date: ____________________</w:t>
            </w:r>
          </w:p>
        </w:tc>
        <w:tc>
          <w:tcPr>
            <w:tcW w:type="dxa" w:w="4680"/>
            <w:tcBorders>
              <w:top w:val="none" w:color="FFFFFF" w:sz="0"/>
              <w:left w:val="none" w:color="FFFFFF" w:sz="0"/>
              <w:bottom w:val="none" w:color="FFFFFF" w:sz="0"/>
              <w:right w:val="none" w:color="FFFFFF" w:sz="0"/>
            </w:tcBorders>
            <w:tcMar>
              <w:top w:type="dxa" w:w="240"/>
              <w:left w:type="dxa" w:w="120"/>
              <w:bottom w:type="dxa" w:w="80"/>
              <w:right w:type="dxa" w:w="80"/>
            </w:tcMar>
          </w:tcPr>
          <w:p>
            <w:pPr>
              <w:pBdr>
                <w:bottom w:val="single" w:color="888888" w:sz="6" w:space="8"/>
              </w:pBdr>
              <w:spacing w:after="60"/>
            </w:pPr>
            <w:r>
              <w:t xml:space="preserve"/>
            </w:r>
          </w:p>
          <w:p>
            <w:r>
              <w:rPr>
                <w:b/>
                <w:bCs/>
                <w:sz w:val="22"/>
                <w:szCs w:val="22"/>
              </w:rPr>
              <w:t xml:space="preserve">Rodney Brown</w:t>
            </w:r>
          </w:p>
          <w:p>
            <w:r>
              <w:rPr>
                <w:color w:val="555555"/>
                <w:sz w:val="18"/>
                <w:szCs w:val="18"/>
              </w:rPr>
              <w:t xml:space="preserve">Proposed Chief AI Officer</w:t>
            </w:r>
          </w:p>
          <w:p>
            <w:pPr>
              <w:spacing w:before="120"/>
            </w:pPr>
            <w:r>
              <w:rPr>
                <w:sz w:val="18"/>
                <w:szCs w:val="18"/>
              </w:rPr>
              <w:t xml:space="preserve">Date: 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Arkline Technologies LLC — CAO Term Sheet (Non-Binding)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2026-05-26T15:58:56.868Z</dcterms:created>
  <dcterms:modified xsi:type="dcterms:W3CDTF">2026-05-26T15:58:56.868Z</dcterms:modified>
</cp:coreProperties>
</file>

<file path=docProps/custom.xml><?xml version="1.0" encoding="utf-8"?>
<Properties xmlns="http://schemas.openxmlformats.org/officeDocument/2006/custom-properties" xmlns:vt="http://schemas.openxmlformats.org/officeDocument/2006/docPropsVTypes"/>
</file>