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A1A22"/>
          <w:sz w:val="72"/>
          <w:szCs w:val="72"/>
        </w:rPr>
        <w:t xml:space="preserve">01 CAPITAL</w:t>
      </w:r>
    </w:p>
    <w:p>
      <w:pPr>
        <w:spacing w:after="200"/>
      </w:pPr>
      <w:r>
        <w:rPr>
          <w:color w:val="6D4AFF"/>
          <w:sz w:val="28"/>
          <w:szCs w:val="28"/>
        </w:rPr>
        <w:t xml:space="preserve">( ZeroCaps )</w:t>
      </w:r>
    </w:p>
    <w:p>
      <w:pPr>
        <w:pBdr>
          <w:bottom w:val="single" w:color="6D4AFF" w:sz="12" w:space="4"/>
        </w:pBdr>
        <w:spacing w:after="240"/>
      </w:pPr>
      <w:r>
        <w:t xml:space="preserve"/>
      </w:r>
    </w:p>
    <w:p>
      <w:pPr>
        <w:spacing w:after="120"/>
      </w:pPr>
      <w:r>
        <w:rPr>
          <w:b/>
          <w:bCs/>
          <w:color w:val="1A1A22"/>
          <w:sz w:val="40"/>
          <w:szCs w:val="40"/>
        </w:rPr>
        <w:t xml:space="preserve">Project Documentation</w:t>
      </w:r>
    </w:p>
    <w:p>
      <w:pPr>
        <w:spacing w:after="40"/>
      </w:pPr>
      <w:r>
        <w:rPr>
          <w:color w:val="5A5A6B"/>
          <w:sz w:val="26"/>
          <w:szCs w:val="26"/>
        </w:rPr>
        <w:t xml:space="preserve">Source material for slide deck</w:t>
      </w:r>
    </w:p>
    <w:p>
      <w:pPr>
        <w:spacing w:after="600"/>
      </w:pPr>
      <w:r>
        <w:rPr>
          <w:i/>
          <w:iCs/>
          <w:color w:val="5A5A6B"/>
          <w:sz w:val="22"/>
          <w:szCs w:val="22"/>
        </w:rPr>
        <w:t xml:space="preserve">Cap table &amp; equity-management SaaS, built natively on the 2023 Saudi Companies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D4AFF" w:sz="24"/>
              <w:bottom w:val="none"/>
              <w:right w:val="none"/>
            </w:tcBorders>
            <w:shd w:fill="F4F2F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B2FC9"/>
              </w:rPr>
              <w:t xml:space="preserve">AT A GLANCE</w:t>
            </w:r>
          </w:p>
          <w:p>
            <w:pPr>
              <w:spacing w:after="40"/>
            </w:pPr>
            <w:r>
              <w:rPr>
                <w:color w:val="1A1A22"/>
                <w:sz w:val="20"/>
                <w:szCs w:val="20"/>
              </w:rPr>
              <w:t xml:space="preserve">Phase: Build — Sprints 0–4 complete, Sprint 5 active</w:t>
            </w:r>
          </w:p>
          <w:p>
            <w:pPr>
              <w:spacing w:after="40"/>
            </w:pPr>
            <w:r>
              <w:rPr>
                <w:color w:val="1A1A22"/>
                <w:sz w:val="20"/>
                <w:szCs w:val="20"/>
              </w:rPr>
              <w:t xml:space="preserve">Stack: Next.js 16 / React 19 · FastAPI (Python 3.12) · PostgreSQL 16 (Supabase)</w:t>
            </w:r>
          </w:p>
          <w:p>
            <w:pPr>
              <w:spacing w:after="40"/>
            </w:pPr>
            <w:r>
              <w:rPr>
                <w:color w:val="1A1A22"/>
                <w:sz w:val="20"/>
                <w:szCs w:val="20"/>
              </w:rPr>
              <w:t xml:space="preserve">Backend: ~6,600 LOC · 17 domain services · 14 models · 8 API modules · 13 migrations</w:t>
            </w:r>
          </w:p>
          <w:p>
            <w:pPr>
              <w:spacing w:after="40"/>
            </w:pPr>
            <w:r>
              <w:rPr>
                <w:color w:val="1A1A22"/>
                <w:sz w:val="20"/>
                <w:szCs w:val="20"/>
              </w:rPr>
              <w:t xml:space="preserve">Knowledge graph: 174 files · 1,072 nodes · 2,692 edges · 68 communities</w:t>
            </w:r>
          </w:p>
        </w:tc>
      </w:tr>
    </w:tbl>
    <w:p>
      <w:pPr>
        <w:tabs>
          <w:tab w:val="right" w:pos="9360"/>
        </w:tabs>
        <w:spacing w:before="600"/>
      </w:pPr>
      <w:r>
        <w:rPr>
          <w:color w:val="5A5A6B"/>
          <w:sz w:val="20"/>
          <w:szCs w:val="20"/>
        </w:rPr>
        <w:t xml:space="preserve">Prepared for: Ali Alghamdi (CPO)</w:t>
      </w:r>
      <w:r>
        <w:rPr>
          <w:color w:val="5A5A6B"/>
          <w:sz w:val="20"/>
          <w:szCs w:val="20"/>
        </w:rPr>
        <w:t xml:space="preserve">	Generated 2026-07-01</w:t>
      </w:r>
    </w:p>
    <w:p>
      <w:r>
        <w:br w:type="page"/>
      </w:r>
    </w:p>
    <w:p>
      <w:pPr>
        <w:spacing w:after="160"/>
      </w:pPr>
      <w:r>
        <w:rPr>
          <w:b/>
          <w:bCs/>
          <w:color w:val="1A1A22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One-liner &amp; Positioning</w:t>
      </w:r>
    </w:p>
    <w:p>
      <w:pPr>
        <w:spacing w:after="120" w:line="276"/>
      </w:pPr>
      <w:r>
        <w:t xml:space="preserve">Cap table and equity-management SaaS built natively on the 2023 Saudi Companies Law.</w:t>
      </w:r>
    </w:p>
    <w:p>
      <w:pPr>
        <w:spacing w:after="120" w:line="276"/>
      </w:pPr>
      <w:r>
        <w:t xml:space="preserve">The wedge: existing global tools (Carta, EquityList, Qapita) treat Saudi as a currency feature. 01 Capital treats Saudi as a legal-substrate feature. It is a compliance-grade B2B product — not a trading terminal, not accounting/ERP, and not an AI decision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D4AFF" w:sz="24"/>
              <w:bottom w:val="none"/>
              <w:right w:val="none"/>
            </w:tcBorders>
            <w:shd w:fill="F4F2F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B2FC9"/>
              </w:rPr>
              <w:t xml:space="preserve">Core philosophy</w:t>
            </w:r>
          </w:p>
          <w:p>
            <w:pPr>
              <w:spacing w:after="40"/>
            </w:pPr>
            <w:r>
              <w:rPr>
                <w:color w:val="1A1A22"/>
                <w:sz w:val="20"/>
                <w:szCs w:val="20"/>
              </w:rPr>
              <w:t xml:space="preserve">“The cap table is a legal document in software form. Reliability, auditability, and legal correctness beat feature richness.”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The Origin Story — the Pivot</w:t>
      </w:r>
    </w:p>
    <w:p>
      <w:pPr>
        <w:spacing w:after="120" w:line="276"/>
      </w:pPr>
      <w:r>
        <w:t xml:space="preserve">The project began as a TASI (Tadawul) stock-intelligence platform — a “Bloomberg-lite” terminal. It was killed and re-pointed (ADR-0001, 2026-05-05) for three reasons: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mismatch — none of the founders are experienced traders.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Founder-need mismatch — the company needed to track its own equity, not analyze the stock market.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Crowded space, no edge — Argaam, Mubasher, and TradingView already own that market.</w:t>
      </w:r>
    </w:p>
    <w:p>
      <w:pPr>
        <w:spacing w:after="120" w:line="276"/>
      </w:pPr>
      <w:r>
        <w:t xml:space="preserve">Pivoted to the underserved segment: Saudi-domiciled companies (SJSC / LLC / JSC) that global cap-table tools model incorrectly. Validated via a 14-day discovery sprint, then ADR-0004 “Proceed to Build” was accepted on 2026-05-06.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The Problem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Saudi startups manage equity in spreadsheets — error-prone and legally fragile.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Global tools assume a US / Delaware C-corp structure and cannot natively model: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LLC quotas vs. SJSC shares (legally distinct instruments)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Sukuk-convertibles and Sharia-compliant ESOPs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MoC / CMA / ZATCA filing obligations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Arabic-language, Saudi-law-formatted legal documents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cap table error is not a bug — it is a legal liability.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Product &amp;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617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318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Saudi-native legal correctness</w:t>
            </w:r>
          </w:p>
        </w:tc>
        <w:tc>
          <w:tcPr>
            <w:tcW w:type="dxa" w:w="617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Every feature validated against the 2023 Companies Law; LLC / SJSC / JSC are not interchangeable</w:t>
            </w:r>
          </w:p>
        </w:tc>
      </w:tr>
      <w:tr>
        <w:tc>
          <w:tcPr>
            <w:tcW w:type="dxa" w:w="318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Cap table as a legal document</w:t>
            </w:r>
          </w:p>
        </w:tc>
        <w:tc>
          <w:tcPr>
            <w:tcW w:type="dxa" w:w="617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Event-sourced, immutable audit log; current state is a materialized view</w:t>
            </w:r>
          </w:p>
        </w:tc>
      </w:tr>
      <w:tr>
        <w:tc>
          <w:tcPr>
            <w:tcW w:type="dxa" w:w="318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Bilingual, Arabic-first</w:t>
            </w:r>
          </w:p>
        </w:tc>
        <w:tc>
          <w:tcPr>
            <w:tcW w:type="dxa" w:w="617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Documents authored in Arabic, rendered EN + AR; RTL-ready UI</w:t>
            </w:r>
          </w:p>
        </w:tc>
      </w:tr>
      <w:tr>
        <w:tc>
          <w:tcPr>
            <w:tcW w:type="dxa" w:w="318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Compliance surface</w:t>
            </w:r>
          </w:p>
        </w:tc>
        <w:tc>
          <w:tcPr>
            <w:tcW w:type="dxa" w:w="617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Surfaces MoC/CMA/ZATCA obligations and drafts filings — never auto-submits</w:t>
            </w:r>
          </w:p>
        </w:tc>
      </w:tr>
      <w:tr>
        <w:tc>
          <w:tcPr>
            <w:tcW w:type="dxa" w:w="318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Deterministic engine</w:t>
            </w:r>
          </w:p>
        </w:tc>
        <w:tc>
          <w:tcPr>
            <w:tcW w:type="dxa" w:w="617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Ownership math is 100% deterministic; AI is optional, narrow, replaceable — never core</w:t>
            </w:r>
          </w:p>
        </w:tc>
      </w:tr>
      <w:tr>
        <w:tc>
          <w:tcPr>
            <w:tcW w:type="dxa" w:w="318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Data sovereignty</w:t>
            </w:r>
          </w:p>
        </w:tc>
        <w:tc>
          <w:tcPr>
            <w:tcW w:type="dxa" w:w="617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Saudi-hosted (AWS Bahrain, me-south-1); PDPL-compliant; field-level PII encryption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310"/>
        <w:gridCol w:w="1310"/>
        <w:gridCol w:w="1310"/>
        <w:gridCol w:w="1310"/>
        <w:gridCol w:w="1312"/>
      </w:tblGrid>
      <w:tr>
        <w:trPr>
          <w:tblHeader/>
        </w:trPr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Carta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Pulley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Ledgy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Qapita</w:t>
            </w:r>
          </w:p>
        </w:tc>
        <w:tc>
          <w:tcPr>
            <w:tcW w:type="dxa" w:w="131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01 Capital</w:t>
            </w:r>
          </w:p>
        </w:tc>
      </w:tr>
      <w:tr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LLC / quota support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Partial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SJSC share classes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Saudi Companies Law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Arabic documents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MoC filing tracker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CMA ESOP workflow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SAR-native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Published pricing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No</w:t>
            </w:r>
          </w:p>
        </w:tc>
        <w:tc>
          <w:tcPr>
            <w:tcW w:type="dxa" w:w="131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D4AFF" w:sz="24"/>
              <w:bottom w:val="none"/>
              <w:right w:val="none"/>
            </w:tcBorders>
            <w:shd w:fill="F4F2F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B2FC9"/>
              </w:rPr>
              <w:t xml:space="preserve">Moat</w:t>
            </w:r>
          </w:p>
          <w:p>
            <w:pPr>
              <w:spacing w:after="40"/>
            </w:pPr>
            <w:r>
              <w:rPr>
                <w:color w:val="1A1A22"/>
                <w:sz w:val="20"/>
                <w:szCs w:val="20"/>
              </w:rPr>
              <w:t xml:space="preserve">Deep Saudi-law compliance + Arabic-first documents + a government distribution path (Monsha’at / MISA accreditation). Incumbents cannot replicate this quickly.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Architecture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</w:rPr>
        <w:t xml:space="preserve">Next.js 16 / React 19 (frontend)  →  FastAPI, Python 3.12 (backend API)  →  PostgreSQL 16 (Supabase, row-level security). A Celery worker drives WeasyPrint for bilingual PDF generation; Redis provides caching. Monorepo with modular boundaries inside a monolith — no microservices until validated.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Five locked architectural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A — Event-sourced cap table. </w:t>
      </w:r>
      <w:r>
        <w:t xml:space="preserve">Immutable events; current state is a materialized view (ADR-0003).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B — Multi-tenancy day one. </w:t>
      </w:r>
      <w:r>
        <w:t xml:space="preserve">One company = one tenant; Postgres row-level security; no query without a tenant scope (ADR-0005).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C — Arabic-first templates. </w:t>
      </w:r>
      <w:r>
        <w:t xml:space="preserve">Bilingual, legally formatted for Saudi corporate law.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D — Saudi-hosted infra. </w:t>
      </w:r>
      <w:r>
        <w:t xml:space="preserve">Production data on AWS Bahrain, me-south-1 (ADR-0006).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E — Adapter pattern for regulators. </w:t>
      </w:r>
      <w:r>
        <w:t xml:space="preserve">MoC / ZATCA / CMA integrations stubbed in V1.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Locked stack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Backend: FastAPI 0.115+, SQLAlchemy 2.0 async, Pydantic 2, Alembic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Frontend: Next.js 16, TypeScript strict, React 19; Zod at the API boundary (ADR-0008)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Database: PostgreSQL 16; immutable events table (no UPDATE, no DELETE, ever)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7. What Is Actually Built</w:t>
      </w:r>
    </w:p>
    <w:p>
      <w:pPr>
        <w:spacing w:after="120" w:line="276"/>
      </w:pPr>
      <w:r>
        <w:t xml:space="preserve">Cross-checked against the codebase: ~6,600 LOC of backend Python, 73 commits, 13 migrations.</w:t>
      </w:r>
    </w:p>
    <w:p>
      <w:pPr>
        <w:pStyle w:val="Heading2"/>
      </w:pPr>
      <w:r>
        <w:t xml:space="preserve">Backend engine — 17 domain services</w:t>
      </w:r>
    </w:p>
    <w:p>
      <w:pPr>
        <w:spacing w:after="120" w:line="276"/>
      </w:pPr>
      <w:r>
        <w:rPr>
          <w:rFonts w:ascii="Consolas" w:cs="Consolas" w:eastAsia="Consolas" w:hAnsi="Consolas"/>
          <w:color w:val="5A5A6B"/>
          <w:sz w:val="18"/>
          <w:szCs w:val="18"/>
        </w:rPr>
        <w:t xml:space="preserve">cap_table · waterfall · vesting · ifrs2 · antidilution · phantom · pro_rata · conversion · zatca · filing_detector · audit_pack · pdf · esign · cma_reference · filing_reference · email</w:t>
      </w:r>
    </w:p>
    <w:p>
      <w:pPr>
        <w:pStyle w:val="Heading2"/>
      </w:pPr>
      <w:r>
        <w:t xml:space="preserve">14 data models</w:t>
      </w:r>
    </w:p>
    <w:p>
      <w:pPr>
        <w:spacing w:after="120" w:line="276"/>
      </w:pPr>
      <w:r>
        <w:rPr>
          <w:rFonts w:ascii="Consolas" w:cs="Consolas" w:eastAsia="Consolas" w:hAnsi="Consolas"/>
          <w:color w:val="5A5A6B"/>
          <w:sz w:val="18"/>
          <w:szCs w:val="18"/>
        </w:rPr>
        <w:t xml:space="preserve">Company · Stakeholder · Holding · CapTableEvent · CompanyMember · EsopPlan · EsopGrant · Instrument · ProRataRight · Filing · Document / SigningRecord · AuditLog · User</w:t>
      </w:r>
    </w:p>
    <w:p>
      <w:pPr>
        <w:pStyle w:val="Heading2"/>
      </w:pPr>
      <w:r>
        <w:t xml:space="preserve">8 API route modules</w:t>
      </w:r>
    </w:p>
    <w:p>
      <w:pPr>
        <w:spacing w:after="120" w:line="276"/>
      </w:pPr>
      <w:r>
        <w:rPr>
          <w:rFonts w:ascii="Consolas" w:cs="Consolas" w:eastAsia="Consolas" w:hAnsi="Consolas"/>
          <w:color w:val="5A5A6B"/>
          <w:sz w:val="18"/>
          <w:szCs w:val="18"/>
        </w:rPr>
        <w:t xml:space="preserve">auth · companies · esop · instruments · filings · documents · pro_rata · integrations</w:t>
      </w:r>
    </w:p>
    <w:p>
      <w:pPr>
        <w:pStyle w:val="Heading2"/>
      </w:pPr>
      <w:r>
        <w:t xml:space="preserve">Frontend &amp; testing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 flows (login / register / OTP verify), app shell (dashboard, companies, account, onboarding), marketing pages (cap-table, esop, compliance, instruments, contact).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16 backend test suites + Playwright E2E (auth, company, stakeholders, esop, filings, instruments, members).</w:t>
      </w:r>
    </w:p>
    <w:p>
      <w:r>
        <w:br w:type="page"/>
      </w:r>
    </w:p>
    <w:p>
      <w:pPr>
        <w:pStyle w:val="Heading1"/>
      </w:pPr>
      <w:r>
        <w:t xml:space="preserve">8. Sprint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6926"/>
        <w:gridCol w:w="1498"/>
      </w:tblGrid>
      <w:tr>
        <w:trPr>
          <w:tblHeader/>
        </w:trP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0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Foundation (monorepo, auth, CI, brand tokens)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1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Company + stakeholders + security baseline (MFA, RBAC, encryption)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2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Capital changes, scenario modeling, secondary transactions, IFRS 2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3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ESOP foundation + bilingual PDF generation + e-signing + audit pack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4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MoC filing tracker + CMA ESOP workflow + ZATCA export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5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Sophisticated instruments (sukuk-convertibles), anti-dilution, waterfall, pro-rata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6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Employee portal + investor portal + data room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7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Arabic UI (RTL) + notifications + reporting dashboard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3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8</w:t>
            </w:r>
          </w:p>
        </w:tc>
        <w:tc>
          <w:tcPr>
            <w:tcW w:type="dxa" w:w="6926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Security hardening + external pen test + first paying customer</w:t>
            </w:r>
          </w:p>
        </w:tc>
        <w:tc>
          <w:tcPr>
            <w:tcW w:type="dxa" w:w="149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9. Security &amp; Compliance Baseline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MFA (TOTP) required for all users.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RBAC — admin / editor / viewer, enforced at the API layer (not just the UI).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Field-level AES-256 encryption for national IDs and IBANs.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log of every login, export, and document access — not just cap-table 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Immutable events table — no UPDATE, no DELETE, ever.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generated document watermarked “مسودة — يُرجى المراجعة مع مستشار قانوني / DRAFT — REVIEW WITH LEGAL COUNSEL” until a lawyer signs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24"/>
              <w:bottom w:val="none"/>
              <w:right w:val="none"/>
            </w:tcBorders>
            <w:shd w:fill="FBF0F0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B2FC9"/>
              </w:rPr>
              <w:t xml:space="preserve">Hard gate</w:t>
            </w:r>
          </w:p>
          <w:p>
            <w:pPr>
              <w:spacing w:after="40"/>
            </w:pPr>
            <w:r>
              <w:rPr>
                <w:color w:val="1A1A22"/>
                <w:sz w:val="20"/>
                <w:szCs w:val="20"/>
              </w:rPr>
              <w:t xml:space="preserve">No real customer data until MFA + RBAC + field encryption are live. External penetration test required before the first paying customer.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10. Business Model — SAR-Denominated,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059"/>
        <w:gridCol w:w="2808"/>
        <w:gridCol w:w="2621"/>
      </w:tblGrid>
      <w:tr>
        <w:trPr>
          <w:tblHeader/>
        </w:trPr>
        <w:tc>
          <w:tcPr>
            <w:tcW w:type="dxa" w:w="187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59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/ year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621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87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Seed (Free)</w:t>
            </w:r>
          </w:p>
        </w:tc>
        <w:tc>
          <w:tcPr>
            <w:tcW w:type="dxa" w:w="2059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SAR 0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≤ 25 stakeholders</w:t>
            </w:r>
          </w:p>
        </w:tc>
        <w:tc>
          <w:tcPr>
            <w:tcW w:type="dxa" w:w="2621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Pre-seed LLCs / SJSCs</w:t>
            </w:r>
          </w:p>
        </w:tc>
      </w:tr>
      <w:tr>
        <w:tc>
          <w:tcPr>
            <w:tcW w:type="dxa" w:w="187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Early</w:t>
            </w:r>
          </w:p>
        </w:tc>
        <w:tc>
          <w:tcPr>
            <w:tcW w:type="dxa" w:w="2059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SAR 4,800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≤ 50 stakeholders</w:t>
            </w:r>
          </w:p>
        </w:tc>
        <w:tc>
          <w:tcPr>
            <w:tcW w:type="dxa" w:w="2621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Seed-stage startups</w:t>
            </w:r>
          </w:p>
        </w:tc>
      </w:tr>
      <w:tr>
        <w:tc>
          <w:tcPr>
            <w:tcW w:type="dxa" w:w="187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Growth</w:t>
            </w:r>
          </w:p>
        </w:tc>
        <w:tc>
          <w:tcPr>
            <w:tcW w:type="dxa" w:w="2059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SAR 12,000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≤ 150 stakeholders</w:t>
            </w:r>
          </w:p>
        </w:tc>
        <w:tc>
          <w:tcPr>
            <w:tcW w:type="dxa" w:w="2621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Series A companies</w:t>
            </w:r>
          </w:p>
        </w:tc>
      </w:tr>
      <w:tr>
        <w:tc>
          <w:tcPr>
            <w:tcW w:type="dxa" w:w="187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Scale</w:t>
            </w:r>
          </w:p>
        </w:tc>
        <w:tc>
          <w:tcPr>
            <w:tcW w:type="dxa" w:w="2059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SAR 30,000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Unlimited</w:t>
            </w:r>
          </w:p>
        </w:tc>
        <w:tc>
          <w:tcPr>
            <w:tcW w:type="dxa" w:w="2621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Series B+ companies</w:t>
            </w:r>
          </w:p>
        </w:tc>
      </w:tr>
      <w:tr>
        <w:tc>
          <w:tcPr>
            <w:tcW w:type="dxa" w:w="187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059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Custom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Multi-company, API, white-label</w:t>
            </w:r>
          </w:p>
        </w:tc>
        <w:tc>
          <w:tcPr>
            <w:tcW w:type="dxa" w:w="2621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VC funds, law firms</w:t>
            </w:r>
          </w:p>
        </w:tc>
      </w:tr>
    </w:tbl>
    <w:p>
      <w:pPr>
        <w:spacing w:after="120" w:line="276"/>
      </w:pPr>
      <w:r>
        <w:rPr>
          <w:i/>
          <w:iCs/>
          <w:color w:val="5A5A6B"/>
        </w:rPr>
        <w:t xml:space="preserve">Transparent pricing is itself a competitive advantage — every major competitor has opaque pricing as a top complaint.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11.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524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2E2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CEO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Yosef Naytah</w:t>
            </w:r>
          </w:p>
        </w:tc>
        <w:tc>
          <w:tcPr>
            <w:tcW w:type="dxa" w:w="524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Product priorities, partnerships, customer discovery</w:t>
            </w:r>
          </w:p>
        </w:tc>
      </w:tr>
      <w:tr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CPO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Ali Alghamdi</w:t>
            </w:r>
          </w:p>
        </w:tc>
        <w:tc>
          <w:tcPr>
            <w:tcW w:type="dxa" w:w="524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Product specs, user flows, design reviews, prioritization</w:t>
            </w:r>
          </w:p>
        </w:tc>
      </w:tr>
      <w:tr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CDO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Mohammed Alharbi</w:t>
            </w:r>
          </w:p>
        </w:tc>
        <w:tc>
          <w:tcPr>
            <w:tcW w:type="dxa" w:w="524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Brand system, design tokens, copy review</w:t>
            </w:r>
          </w:p>
        </w:tc>
      </w:tr>
      <w:tr>
        <w:tc>
          <w:tcPr>
            <w:tcW w:type="dxa" w:w="1310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22"/>
                <w:sz w:val="19"/>
                <w:szCs w:val="19"/>
              </w:rPr>
              <w:t xml:space="preserve">CTO</w:t>
            </w:r>
          </w:p>
        </w:tc>
        <w:tc>
          <w:tcPr>
            <w:tcW w:type="dxa" w:w="2808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Abdulelah Alshareef</w:t>
            </w:r>
          </w:p>
        </w:tc>
        <w:tc>
          <w:tcPr>
            <w:tcW w:type="dxa" w:w="5242"/>
            <w:tcBorders>
              <w:top w:val="single" w:color="D9D6E6" w:sz="1"/>
              <w:left w:val="single" w:color="D9D6E6" w:sz="1"/>
              <w:bottom w:val="single" w:color="D9D6E6" w:sz="1"/>
              <w:right w:val="single" w:color="D9D6E6" w:sz="1"/>
            </w:tcBorders>
            <w:shd w:fill="F4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5A5A6B"/>
                <w:sz w:val="19"/>
                <w:szCs w:val="19"/>
              </w:rPr>
              <w:t xml:space="preserve">Architecture, technical ADRs, code review, infra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12. Codebase Knowledge Graph</w:t>
      </w:r>
    </w:p>
    <w:p>
      <w:pPr>
        <w:spacing w:after="120" w:line="276"/>
      </w:pPr>
      <w:r>
        <w:t xml:space="preserve">From the graphify analysis of the repository (174 files, ~275,000 words):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1,072 nodes · 2,692 edges · 68 communities.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Core abstractions (god nodes): </w:t>
      </w:r>
      <w:r>
        <w:t xml:space="preserve">User, CompanyMember, Stakeholder, EventType, AsyncSession, Filing, Holding.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Major communities: </w:t>
      </w:r>
      <w:r>
        <w:t xml:space="preserve">Companies &amp; Stakeholders API, Auth &amp; Audit Backend, ESOP Backend, Instruments &amp; Cap Table API, Waterfall &amp; Filings, CMA / ESOP / ZATCA Law.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13. Success Gates &amp; Traction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MVP (end Sprint 4): </w:t>
      </w:r>
      <w:r>
        <w:t xml:space="preserve">01 Capital runs its own cap table end-to-end; 3+ Saudi companies confirm the model is correct; first Arabic PDF cap table reviewed by a Saudi lawyer.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V1 launch (end Sprint 8): </w:t>
      </w:r>
      <w:r>
        <w:t xml:space="preserve">5+ active companies, 2+ paying; pen test passed; running on AWS Bahrain; zero data-integrity incidents; zero legal-correctness disputes.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1A22"/>
        </w:rPr>
        <w:t xml:space="preserve">V2 (6 months post-launch): </w:t>
      </w:r>
      <w:r>
        <w:t xml:space="preserve">30+ paying customers; 2+ Saudi VC funds recommending it; Arabic UI shipped; 70%+ MRR retention month-over-month.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Note on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D4AFF" w:sz="24"/>
              <w:bottom w:val="none"/>
              <w:right w:val="none"/>
            </w:tcBorders>
            <w:shd w:fill="F4F2F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B2FC9"/>
              </w:rPr>
              <w:t xml:space="preserve">Source of truth</w:t>
            </w:r>
          </w:p>
          <w:p>
            <w:pPr>
              <w:spacing w:after="40"/>
            </w:pPr>
            <w:r>
              <w:rPr>
                <w:color w:val="1A1A22"/>
                <w:sz w:val="20"/>
                <w:szCs w:val="20"/>
              </w:rPr>
              <w:t xml:space="preserve">The repository README.md still labels the project “Discovery” phase — that is stale. The authoritative sources (CLAUDE.md + implementation plan) show Sprints 0–4 complete and Sprint 5 active. Use the roadmap in Section 8 for current status.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E6" w:sz="4" w:space="6"/>
      </w:pBdr>
      <w:jc w:val="center"/>
    </w:pPr>
    <w:r>
      <w:rPr>
        <w:color w:val="5A5A6B"/>
        <w:sz w:val="16"/>
        <w:szCs w:val="16"/>
      </w:rPr>
      <w:t xml:space="preserve">01 Capital — Confidential  ·  </w:t>
    </w:r>
    <w:r>
      <w:rPr>
        <w:color w:val="5A5A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4AFF" w:sz="8" w:space="4"/>
      </w:pBdr>
      <w:spacing w:after="140" w:before="280"/>
      <w:outlineLvl w:val="0"/>
    </w:pPr>
    <w:rPr>
      <w:rFonts w:ascii="Arial" w:cs="Arial" w:eastAsia="Arial" w:hAnsi="Arial"/>
      <w:b/>
      <w:bCs/>
      <w:color w:val="4B2FC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1A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Capital — Project Documentation</dc:title>
  <dc:creator>01 Capital</dc:creator>
  <dc:description>Slide deck source material</dc:description>
  <cp:lastModifiedBy>Un-named</cp:lastModifiedBy>
  <cp:revision>1</cp:revision>
  <dcterms:created xsi:type="dcterms:W3CDTF">2026-07-01T18:38:57.206Z</dcterms:created>
  <dcterms:modified xsi:type="dcterms:W3CDTF">2026-07-01T18:38:57.213Z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