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3" w:type="dxa"/>
        <w:tblLayout w:type="fixed"/>
        <w:tblLook w:val="04A0" w:firstRow="1" w:lastRow="0" w:firstColumn="1" w:lastColumn="0" w:noHBand="0" w:noVBand="1"/>
      </w:tblPr>
      <w:tblGrid>
        <w:gridCol w:w="1413"/>
        <w:gridCol w:w="1838"/>
        <w:gridCol w:w="1847"/>
        <w:gridCol w:w="4395"/>
      </w:tblGrid>
      <w:tr w:rsidR="004D6E4C" w:rsidRPr="00892E76" w14:paraId="7863FF64" w14:textId="77777777" w:rsidTr="001B1C7A">
        <w:trPr>
          <w:trHeight w:val="300"/>
        </w:trPr>
        <w:tc>
          <w:tcPr>
            <w:tcW w:w="1413" w:type="dxa"/>
            <w:tcMar>
              <w:left w:w="108" w:type="dxa"/>
              <w:right w:w="108" w:type="dxa"/>
            </w:tcMar>
            <w:vAlign w:val="center"/>
          </w:tcPr>
          <w:p w14:paraId="17375212" w14:textId="77777777" w:rsidR="004D6E4C" w:rsidRPr="00892E76" w:rsidRDefault="004D6E4C" w:rsidP="001B1C7A">
            <w:pPr>
              <w:jc w:val="center"/>
              <w:rPr>
                <w:rFonts w:ascii="Arial" w:eastAsia="Arial" w:hAnsi="Arial" w:cs="Arial"/>
                <w:color w:val="000000" w:themeColor="text1"/>
                <w:sz w:val="20"/>
                <w:szCs w:val="20"/>
              </w:rPr>
            </w:pPr>
            <w:r w:rsidRPr="00892E76">
              <w:rPr>
                <w:rFonts w:ascii="Arial" w:eastAsia="Arial" w:hAnsi="Arial" w:cs="Arial"/>
                <w:color w:val="000000" w:themeColor="text1"/>
                <w:sz w:val="20"/>
                <w:szCs w:val="20"/>
              </w:rPr>
              <w:t xml:space="preserve">Асуудал </w:t>
            </w:r>
          </w:p>
        </w:tc>
        <w:tc>
          <w:tcPr>
            <w:tcW w:w="8080" w:type="dxa"/>
            <w:gridSpan w:val="3"/>
            <w:tcMar>
              <w:left w:w="108" w:type="dxa"/>
              <w:right w:w="108" w:type="dxa"/>
            </w:tcMar>
          </w:tcPr>
          <w:p w14:paraId="40542D8B" w14:textId="77777777" w:rsidR="004D6E4C" w:rsidRPr="00892E76" w:rsidRDefault="004D6E4C" w:rsidP="001B1C7A">
            <w:pPr>
              <w:jc w:val="both"/>
              <w:rPr>
                <w:rFonts w:ascii="Arial" w:eastAsia="Arial" w:hAnsi="Arial" w:cs="Arial"/>
                <w:color w:val="000000" w:themeColor="text1"/>
                <w:sz w:val="20"/>
                <w:szCs w:val="20"/>
              </w:rPr>
            </w:pPr>
            <w:r w:rsidRPr="00892E76">
              <w:rPr>
                <w:rFonts w:ascii="Arial" w:eastAsia="Arial" w:hAnsi="Arial" w:cs="Arial"/>
                <w:color w:val="000000" w:themeColor="text1"/>
                <w:sz w:val="20"/>
                <w:szCs w:val="20"/>
              </w:rPr>
              <w:t xml:space="preserve">Нэгдлийн охин, хараат компаниудын ХЭ хуралд танилцуулсан 2025 оны эхний хагас жилийн байдлаарх санхүүгийн шинжилгээний үзүүлэлтүүд нь зохистой төвшнөөс доогуур үзүүлэлттэй байна.    </w:t>
            </w:r>
          </w:p>
        </w:tc>
      </w:tr>
      <w:tr w:rsidR="004D6E4C" w:rsidRPr="00892E76" w14:paraId="69D7EC77" w14:textId="77777777" w:rsidTr="001B1C7A">
        <w:trPr>
          <w:trHeight w:val="953"/>
        </w:trPr>
        <w:tc>
          <w:tcPr>
            <w:tcW w:w="1413" w:type="dxa"/>
            <w:tcMar>
              <w:left w:w="108" w:type="dxa"/>
              <w:right w:w="108" w:type="dxa"/>
            </w:tcMar>
            <w:vAlign w:val="center"/>
          </w:tcPr>
          <w:p w14:paraId="2F498DA0" w14:textId="77777777" w:rsidR="004D6E4C" w:rsidRPr="00892E76" w:rsidRDefault="004D6E4C" w:rsidP="001B1C7A">
            <w:pPr>
              <w:jc w:val="center"/>
            </w:pPr>
          </w:p>
          <w:p w14:paraId="33CAF4FD" w14:textId="77777777" w:rsidR="004D6E4C" w:rsidRPr="00892E76" w:rsidRDefault="004D6E4C" w:rsidP="001B1C7A">
            <w:pPr>
              <w:jc w:val="center"/>
            </w:pPr>
            <w:r w:rsidRPr="00892E76">
              <w:rPr>
                <w:rFonts w:ascii="Arial" w:eastAsia="Arial" w:hAnsi="Arial" w:cs="Arial"/>
                <w:color w:val="000000" w:themeColor="text1"/>
                <w:sz w:val="20"/>
                <w:szCs w:val="20"/>
              </w:rPr>
              <w:t>Нөхцөл байдал</w:t>
            </w:r>
          </w:p>
          <w:p w14:paraId="0C255ACA" w14:textId="77777777" w:rsidR="004D6E4C" w:rsidRPr="00892E76" w:rsidRDefault="004D6E4C" w:rsidP="001B1C7A">
            <w:pPr>
              <w:jc w:val="center"/>
            </w:pPr>
          </w:p>
        </w:tc>
        <w:tc>
          <w:tcPr>
            <w:tcW w:w="8080" w:type="dxa"/>
            <w:gridSpan w:val="3"/>
            <w:tcMar>
              <w:left w:w="108" w:type="dxa"/>
              <w:right w:w="108" w:type="dxa"/>
            </w:tcMar>
          </w:tcPr>
          <w:p w14:paraId="1018B8CC" w14:textId="77777777" w:rsidR="004D6E4C" w:rsidRPr="00892E76" w:rsidRDefault="004D6E4C" w:rsidP="001B1C7A">
            <w:pPr>
              <w:jc w:val="both"/>
              <w:rPr>
                <w:rFonts w:ascii="Arial" w:eastAsia="Arial" w:hAnsi="Arial" w:cs="Arial"/>
                <w:color w:val="000000" w:themeColor="text1"/>
                <w:sz w:val="20"/>
                <w:szCs w:val="20"/>
              </w:rPr>
            </w:pPr>
            <w:r w:rsidRPr="00892E76">
              <w:rPr>
                <w:rFonts w:ascii="Arial" w:eastAsia="Arial" w:hAnsi="Arial" w:cs="Arial"/>
                <w:color w:val="000000" w:themeColor="text1"/>
                <w:sz w:val="20"/>
                <w:szCs w:val="20"/>
              </w:rPr>
              <w:t xml:space="preserve">Нэгдлийн охин, хараат компанийн эхний хагас жилийн тайлангийн хуралд танилцуулагдсан санхүүгийн шинжилгээний буюу хөрөнгийн өгөөж, өр төлбөрийн харьцаа, эздийн өмчийн харьцаа зэрэг мэдээллээс харахад тус үзүүлэлтүүд нь зохистой түвшнээс бага үзүүлэлттэй байна. Тухайлбал: “Эрдэнэт Үйлдвэр” ТӨҮГ, “Эрдэнэс Таван толгой” ХК, “Багануур”ХКийн хөрөнгийн харьцаа нь 0.9-4.8 хувь, өр төлбөрийн харьцаа 0-39.0 хувь байна. </w:t>
            </w:r>
          </w:p>
          <w:p w14:paraId="1F76338B" w14:textId="77777777" w:rsidR="004D6E4C" w:rsidRPr="00892E76" w:rsidRDefault="004D6E4C" w:rsidP="001B1C7A">
            <w:pPr>
              <w:pStyle w:val="Paragraph1"/>
              <w:spacing w:line="276" w:lineRule="auto"/>
              <w:ind w:firstLine="426"/>
              <w:rPr>
                <w:rFonts w:ascii="Arial" w:hAnsi="Arial" w:cs="Arial"/>
                <w:sz w:val="20"/>
                <w:szCs w:val="20"/>
              </w:rPr>
            </w:pPr>
            <w:r w:rsidRPr="00892E76">
              <w:rPr>
                <w:rFonts w:ascii="Arial" w:hAnsi="Arial" w:cs="Arial"/>
                <w:sz w:val="20"/>
                <w:szCs w:val="20"/>
              </w:rPr>
              <w:t xml:space="preserve">Нэгдлийн 16 компанийн санхүүгийн 7 үзүүлэлтийг Санхүү, эдийн засгийн сайдын /хуучнаар/ 2001 оны 133 дугаар тушаалаар баталсан “Аж ахуйн, нэгж байгууллагын санхүүгийн тайланд шинжилгээ хийх үлгэрчилсэн аргачлал”-аар тооцсон бөгөөд гарсан үр дүнгээр зохистой түвшнийг үнэлэхэд дараах байдалтай байна. </w:t>
            </w:r>
          </w:p>
          <w:p w14:paraId="14A40F46" w14:textId="77777777" w:rsidR="004D6E4C" w:rsidRPr="00892E76" w:rsidRDefault="004D6E4C" w:rsidP="001B1C7A">
            <w:pPr>
              <w:pStyle w:val="Paragraph1"/>
              <w:spacing w:after="0" w:line="276" w:lineRule="auto"/>
              <w:ind w:firstLine="426"/>
              <w:jc w:val="center"/>
              <w:rPr>
                <w:rFonts w:ascii="Arial" w:hAnsi="Arial" w:cs="Arial"/>
                <w:sz w:val="18"/>
                <w:szCs w:val="18"/>
              </w:rPr>
            </w:pPr>
            <w:r w:rsidRPr="00892E76">
              <w:rPr>
                <w:rFonts w:ascii="Arial" w:hAnsi="Arial" w:cs="Arial"/>
                <w:sz w:val="18"/>
                <w:szCs w:val="18"/>
              </w:rPr>
              <w:t>ХҮСНЭГТ 10. САНХҮҮГИЙН ШИНЖИЛГЭЭНИЙ ҮР ДҮНГИЙН</w:t>
            </w:r>
          </w:p>
          <w:p w14:paraId="74EAB79C" w14:textId="77777777" w:rsidR="004D6E4C" w:rsidRPr="00892E76" w:rsidRDefault="004D6E4C" w:rsidP="001B1C7A">
            <w:pPr>
              <w:pStyle w:val="Paragraph1"/>
              <w:spacing w:after="0" w:line="276" w:lineRule="auto"/>
              <w:ind w:firstLine="426"/>
              <w:jc w:val="center"/>
              <w:rPr>
                <w:rFonts w:ascii="Arial" w:hAnsi="Arial" w:cs="Arial"/>
                <w:sz w:val="18"/>
                <w:szCs w:val="18"/>
              </w:rPr>
            </w:pPr>
            <w:r w:rsidRPr="00892E76">
              <w:rPr>
                <w:rFonts w:ascii="Arial" w:hAnsi="Arial" w:cs="Arial"/>
                <w:sz w:val="18"/>
                <w:szCs w:val="18"/>
              </w:rPr>
              <w:t xml:space="preserve"> ЗОХИСТОЙ ТҮВШНИЙ ҮЗҮҮЛЭЛТ /2025 ОНЫ ЭХНИЙ ХАГАС ЖИЛИЙН БАЙДЛААР/</w:t>
            </w:r>
          </w:p>
          <w:tbl>
            <w:tblPr>
              <w:tblStyle w:val="ListTable2-Accent5"/>
              <w:tblW w:w="7764" w:type="dxa"/>
              <w:jc w:val="center"/>
              <w:shd w:val="clear" w:color="auto" w:fill="FFFFFF" w:themeFill="background1"/>
              <w:tblLook w:val="04A0" w:firstRow="1" w:lastRow="0" w:firstColumn="1" w:lastColumn="0" w:noHBand="0" w:noVBand="1"/>
            </w:tblPr>
            <w:tblGrid>
              <w:gridCol w:w="439"/>
              <w:gridCol w:w="3137"/>
              <w:gridCol w:w="1134"/>
              <w:gridCol w:w="993"/>
              <w:gridCol w:w="1287"/>
              <w:gridCol w:w="774"/>
            </w:tblGrid>
            <w:tr w:rsidR="004D6E4C" w:rsidRPr="00892E76" w14:paraId="653248B1" w14:textId="77777777" w:rsidTr="001B1C7A">
              <w:trPr>
                <w:cnfStyle w:val="100000000000" w:firstRow="1" w:lastRow="0" w:firstColumn="0" w:lastColumn="0" w:oddVBand="0" w:evenVBand="0" w:oddHBand="0"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439" w:type="dxa"/>
                  <w:shd w:val="clear" w:color="auto" w:fill="F2CEED" w:themeFill="accent5" w:themeFillTint="33"/>
                  <w:noWrap/>
                  <w:vAlign w:val="center"/>
                  <w:hideMark/>
                </w:tcPr>
                <w:p w14:paraId="6B92CAF0" w14:textId="77777777" w:rsidR="004D6E4C" w:rsidRPr="00892E76" w:rsidRDefault="004D6E4C" w:rsidP="001B1C7A">
                  <w:pPr>
                    <w:jc w:val="center"/>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w:t>
                  </w:r>
                </w:p>
              </w:tc>
              <w:tc>
                <w:tcPr>
                  <w:tcW w:w="3137" w:type="dxa"/>
                  <w:shd w:val="clear" w:color="auto" w:fill="F2CEED" w:themeFill="accent5" w:themeFillTint="33"/>
                  <w:noWrap/>
                  <w:vAlign w:val="center"/>
                  <w:hideMark/>
                </w:tcPr>
                <w:p w14:paraId="79804F59" w14:textId="77777777" w:rsidR="004D6E4C" w:rsidRPr="00892E76" w:rsidRDefault="004D6E4C" w:rsidP="001B1C7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Үзүүлэлт</w:t>
                  </w:r>
                </w:p>
              </w:tc>
              <w:tc>
                <w:tcPr>
                  <w:tcW w:w="1134" w:type="dxa"/>
                  <w:shd w:val="clear" w:color="auto" w:fill="8DD873" w:themeFill="accent6" w:themeFillTint="99"/>
                  <w:vAlign w:val="center"/>
                  <w:hideMark/>
                </w:tcPr>
                <w:p w14:paraId="4A70F467" w14:textId="77777777" w:rsidR="004D6E4C" w:rsidRPr="00892E76" w:rsidRDefault="004D6E4C" w:rsidP="001B1C7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Зохистой түвшин</w:t>
                  </w:r>
                </w:p>
              </w:tc>
              <w:tc>
                <w:tcPr>
                  <w:tcW w:w="993" w:type="dxa"/>
                  <w:shd w:val="clear" w:color="auto" w:fill="FFFF00"/>
                  <w:vAlign w:val="center"/>
                  <w:hideMark/>
                </w:tcPr>
                <w:p w14:paraId="6A5D02FC" w14:textId="77777777" w:rsidR="004D6E4C" w:rsidRPr="00892E76" w:rsidRDefault="004D6E4C" w:rsidP="001B1C7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Хэвийн</w:t>
                  </w:r>
                </w:p>
              </w:tc>
              <w:tc>
                <w:tcPr>
                  <w:tcW w:w="1287" w:type="dxa"/>
                  <w:shd w:val="clear" w:color="auto" w:fill="EE0000"/>
                  <w:vAlign w:val="center"/>
                  <w:hideMark/>
                </w:tcPr>
                <w:p w14:paraId="0D486926" w14:textId="77777777" w:rsidR="004D6E4C" w:rsidRPr="00892E76" w:rsidRDefault="004D6E4C" w:rsidP="001B1C7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Зохистой түвшнээс бага</w:t>
                  </w:r>
                </w:p>
              </w:tc>
              <w:tc>
                <w:tcPr>
                  <w:tcW w:w="774" w:type="dxa"/>
                  <w:shd w:val="clear" w:color="auto" w:fill="F2CEED" w:themeFill="accent5" w:themeFillTint="33"/>
                  <w:noWrap/>
                  <w:vAlign w:val="center"/>
                  <w:hideMark/>
                </w:tcPr>
                <w:p w14:paraId="2DF683FD" w14:textId="77777777" w:rsidR="004D6E4C" w:rsidRPr="00892E76" w:rsidRDefault="004D6E4C" w:rsidP="001B1C7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Дүн</w:t>
                  </w:r>
                </w:p>
              </w:tc>
            </w:tr>
            <w:tr w:rsidR="004D6E4C" w:rsidRPr="00892E76" w14:paraId="2753F48F" w14:textId="77777777" w:rsidTr="001B1C7A">
              <w:trPr>
                <w:cnfStyle w:val="000000100000" w:firstRow="0" w:lastRow="0" w:firstColumn="0" w:lastColumn="0" w:oddVBand="0" w:evenVBand="0" w:oddHBand="1"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439" w:type="dxa"/>
                  <w:shd w:val="clear" w:color="auto" w:fill="FFFFFF" w:themeFill="background1"/>
                  <w:noWrap/>
                  <w:vAlign w:val="center"/>
                  <w:hideMark/>
                </w:tcPr>
                <w:p w14:paraId="551B8897" w14:textId="77777777" w:rsidR="004D6E4C" w:rsidRPr="00892E76" w:rsidRDefault="004D6E4C"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1</w:t>
                  </w:r>
                </w:p>
              </w:tc>
              <w:tc>
                <w:tcPr>
                  <w:tcW w:w="3137" w:type="dxa"/>
                  <w:shd w:val="clear" w:color="auto" w:fill="FFFFFF" w:themeFill="background1"/>
                  <w:vAlign w:val="center"/>
                  <w:hideMark/>
                </w:tcPr>
                <w:p w14:paraId="1C53DDFA" w14:textId="77777777" w:rsidR="004D6E4C" w:rsidRPr="00892E76" w:rsidRDefault="004D6E4C" w:rsidP="001B1C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Өр төлбөр, эздийн өмчийн харьцаа</w:t>
                  </w:r>
                </w:p>
              </w:tc>
              <w:tc>
                <w:tcPr>
                  <w:tcW w:w="1134" w:type="dxa"/>
                  <w:shd w:val="clear" w:color="auto" w:fill="8DD873" w:themeFill="accent6" w:themeFillTint="99"/>
                  <w:noWrap/>
                  <w:vAlign w:val="center"/>
                  <w:hideMark/>
                </w:tcPr>
                <w:p w14:paraId="5877807B"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3</w:t>
                  </w:r>
                </w:p>
              </w:tc>
              <w:tc>
                <w:tcPr>
                  <w:tcW w:w="993" w:type="dxa"/>
                  <w:shd w:val="clear" w:color="auto" w:fill="FFFF00"/>
                  <w:vAlign w:val="center"/>
                  <w:hideMark/>
                </w:tcPr>
                <w:p w14:paraId="7B88E584"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p>
              </w:tc>
              <w:tc>
                <w:tcPr>
                  <w:tcW w:w="1287" w:type="dxa"/>
                  <w:shd w:val="clear" w:color="auto" w:fill="EE0000"/>
                  <w:noWrap/>
                  <w:vAlign w:val="center"/>
                  <w:hideMark/>
                </w:tcPr>
                <w:p w14:paraId="4DD9FC4D"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13</w:t>
                  </w:r>
                </w:p>
              </w:tc>
              <w:tc>
                <w:tcPr>
                  <w:tcW w:w="774" w:type="dxa"/>
                  <w:shd w:val="clear" w:color="auto" w:fill="FFFFFF" w:themeFill="background1"/>
                  <w:noWrap/>
                  <w:vAlign w:val="center"/>
                  <w:hideMark/>
                </w:tcPr>
                <w:p w14:paraId="3EB0FFD9"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16</w:t>
                  </w:r>
                </w:p>
              </w:tc>
            </w:tr>
            <w:tr w:rsidR="004D6E4C" w:rsidRPr="00892E76" w14:paraId="0433E912" w14:textId="77777777" w:rsidTr="001B1C7A">
              <w:trPr>
                <w:trHeight w:val="375"/>
                <w:jc w:val="center"/>
              </w:trPr>
              <w:tc>
                <w:tcPr>
                  <w:cnfStyle w:val="001000000000" w:firstRow="0" w:lastRow="0" w:firstColumn="1" w:lastColumn="0" w:oddVBand="0" w:evenVBand="0" w:oddHBand="0" w:evenHBand="0" w:firstRowFirstColumn="0" w:firstRowLastColumn="0" w:lastRowFirstColumn="0" w:lastRowLastColumn="0"/>
                  <w:tcW w:w="439" w:type="dxa"/>
                  <w:shd w:val="clear" w:color="auto" w:fill="FFFFFF" w:themeFill="background1"/>
                  <w:noWrap/>
                  <w:vAlign w:val="center"/>
                  <w:hideMark/>
                </w:tcPr>
                <w:p w14:paraId="5AD9EBC9" w14:textId="77777777" w:rsidR="004D6E4C" w:rsidRPr="00892E76" w:rsidRDefault="004D6E4C"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2</w:t>
                  </w:r>
                </w:p>
              </w:tc>
              <w:tc>
                <w:tcPr>
                  <w:tcW w:w="3137" w:type="dxa"/>
                  <w:shd w:val="clear" w:color="auto" w:fill="FFFFFF" w:themeFill="background1"/>
                  <w:vAlign w:val="center"/>
                  <w:hideMark/>
                </w:tcPr>
                <w:p w14:paraId="7537760D" w14:textId="77777777" w:rsidR="004D6E4C" w:rsidRPr="00892E76" w:rsidRDefault="004D6E4C" w:rsidP="001B1C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Урт хугацаат зээл болон эздийн өмчийн харьцаа</w:t>
                  </w:r>
                </w:p>
              </w:tc>
              <w:tc>
                <w:tcPr>
                  <w:tcW w:w="1134" w:type="dxa"/>
                  <w:shd w:val="clear" w:color="auto" w:fill="8DD873" w:themeFill="accent6" w:themeFillTint="99"/>
                  <w:noWrap/>
                  <w:vAlign w:val="center"/>
                  <w:hideMark/>
                </w:tcPr>
                <w:p w14:paraId="6BB8D079"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4</w:t>
                  </w:r>
                </w:p>
              </w:tc>
              <w:tc>
                <w:tcPr>
                  <w:tcW w:w="993" w:type="dxa"/>
                  <w:shd w:val="clear" w:color="auto" w:fill="FFFF00"/>
                  <w:vAlign w:val="center"/>
                  <w:hideMark/>
                </w:tcPr>
                <w:p w14:paraId="2C22A69F"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p>
              </w:tc>
              <w:tc>
                <w:tcPr>
                  <w:tcW w:w="1287" w:type="dxa"/>
                  <w:shd w:val="clear" w:color="auto" w:fill="EE0000"/>
                  <w:noWrap/>
                  <w:vAlign w:val="center"/>
                  <w:hideMark/>
                </w:tcPr>
                <w:p w14:paraId="485EF48F"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12</w:t>
                  </w:r>
                </w:p>
              </w:tc>
              <w:tc>
                <w:tcPr>
                  <w:tcW w:w="774" w:type="dxa"/>
                  <w:shd w:val="clear" w:color="auto" w:fill="FFFFFF" w:themeFill="background1"/>
                  <w:noWrap/>
                  <w:vAlign w:val="center"/>
                  <w:hideMark/>
                </w:tcPr>
                <w:p w14:paraId="7DD8E0C5"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16</w:t>
                  </w:r>
                </w:p>
              </w:tc>
            </w:tr>
            <w:tr w:rsidR="004D6E4C" w:rsidRPr="00892E76" w14:paraId="07604A57" w14:textId="77777777" w:rsidTr="001B1C7A">
              <w:trPr>
                <w:cnfStyle w:val="000000100000" w:firstRow="0" w:lastRow="0" w:firstColumn="0" w:lastColumn="0" w:oddVBand="0" w:evenVBand="0" w:oddHBand="1" w:evenHBand="0" w:firstRowFirstColumn="0" w:firstRowLastColumn="0" w:lastRowFirstColumn="0" w:lastRowLastColumn="0"/>
                <w:trHeight w:val="303"/>
                <w:jc w:val="center"/>
              </w:trPr>
              <w:tc>
                <w:tcPr>
                  <w:cnfStyle w:val="001000000000" w:firstRow="0" w:lastRow="0" w:firstColumn="1" w:lastColumn="0" w:oddVBand="0" w:evenVBand="0" w:oddHBand="0" w:evenHBand="0" w:firstRowFirstColumn="0" w:firstRowLastColumn="0" w:lastRowFirstColumn="0" w:lastRowLastColumn="0"/>
                  <w:tcW w:w="439" w:type="dxa"/>
                  <w:shd w:val="clear" w:color="auto" w:fill="FFFFFF" w:themeFill="background1"/>
                  <w:noWrap/>
                  <w:vAlign w:val="center"/>
                  <w:hideMark/>
                </w:tcPr>
                <w:p w14:paraId="5681029F" w14:textId="77777777" w:rsidR="004D6E4C" w:rsidRPr="00892E76" w:rsidRDefault="004D6E4C"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3</w:t>
                  </w:r>
                </w:p>
              </w:tc>
              <w:tc>
                <w:tcPr>
                  <w:tcW w:w="3137" w:type="dxa"/>
                  <w:shd w:val="clear" w:color="auto" w:fill="FFFFFF" w:themeFill="background1"/>
                  <w:vAlign w:val="center"/>
                  <w:hideMark/>
                </w:tcPr>
                <w:p w14:paraId="2E4E789C" w14:textId="77777777" w:rsidR="004D6E4C" w:rsidRPr="00892E76" w:rsidRDefault="004D6E4C" w:rsidP="001B1C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Авлагын эргэц /хоногоор/</w:t>
                  </w:r>
                </w:p>
              </w:tc>
              <w:tc>
                <w:tcPr>
                  <w:tcW w:w="1134" w:type="dxa"/>
                  <w:shd w:val="clear" w:color="auto" w:fill="8DD873" w:themeFill="accent6" w:themeFillTint="99"/>
                  <w:noWrap/>
                  <w:vAlign w:val="center"/>
                  <w:hideMark/>
                </w:tcPr>
                <w:p w14:paraId="1375D343"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993" w:type="dxa"/>
                  <w:shd w:val="clear" w:color="auto" w:fill="FFFF00"/>
                  <w:vAlign w:val="center"/>
                  <w:hideMark/>
                </w:tcPr>
                <w:p w14:paraId="2A367BF8"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p>
              </w:tc>
              <w:tc>
                <w:tcPr>
                  <w:tcW w:w="1287" w:type="dxa"/>
                  <w:shd w:val="clear" w:color="auto" w:fill="EE0000"/>
                  <w:noWrap/>
                  <w:vAlign w:val="center"/>
                  <w:hideMark/>
                </w:tcPr>
                <w:p w14:paraId="073EAFA4"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8</w:t>
                  </w:r>
                </w:p>
              </w:tc>
              <w:tc>
                <w:tcPr>
                  <w:tcW w:w="774" w:type="dxa"/>
                  <w:shd w:val="clear" w:color="auto" w:fill="FFFFFF" w:themeFill="background1"/>
                  <w:noWrap/>
                  <w:vAlign w:val="center"/>
                  <w:hideMark/>
                </w:tcPr>
                <w:p w14:paraId="0AE4D231"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9</w:t>
                  </w:r>
                </w:p>
              </w:tc>
            </w:tr>
            <w:tr w:rsidR="004D6E4C" w:rsidRPr="00892E76" w14:paraId="50FDE059" w14:textId="77777777" w:rsidTr="001B1C7A">
              <w:trPr>
                <w:trHeight w:val="278"/>
                <w:jc w:val="center"/>
              </w:trPr>
              <w:tc>
                <w:tcPr>
                  <w:cnfStyle w:val="001000000000" w:firstRow="0" w:lastRow="0" w:firstColumn="1" w:lastColumn="0" w:oddVBand="0" w:evenVBand="0" w:oddHBand="0" w:evenHBand="0" w:firstRowFirstColumn="0" w:firstRowLastColumn="0" w:lastRowFirstColumn="0" w:lastRowLastColumn="0"/>
                  <w:tcW w:w="439" w:type="dxa"/>
                  <w:shd w:val="clear" w:color="auto" w:fill="FFFFFF" w:themeFill="background1"/>
                  <w:noWrap/>
                  <w:vAlign w:val="center"/>
                  <w:hideMark/>
                </w:tcPr>
                <w:p w14:paraId="1410A959" w14:textId="77777777" w:rsidR="004D6E4C" w:rsidRPr="00892E76" w:rsidRDefault="004D6E4C"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4</w:t>
                  </w:r>
                </w:p>
              </w:tc>
              <w:tc>
                <w:tcPr>
                  <w:tcW w:w="3137" w:type="dxa"/>
                  <w:shd w:val="clear" w:color="auto" w:fill="FFFFFF" w:themeFill="background1"/>
                  <w:vAlign w:val="center"/>
                  <w:hideMark/>
                </w:tcPr>
                <w:p w14:paraId="5E3D8895" w14:textId="77777777" w:rsidR="004D6E4C" w:rsidRPr="00892E76" w:rsidRDefault="004D6E4C" w:rsidP="001B1C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Бараа материалын эргэц</w:t>
                  </w:r>
                </w:p>
              </w:tc>
              <w:tc>
                <w:tcPr>
                  <w:tcW w:w="1134" w:type="dxa"/>
                  <w:shd w:val="clear" w:color="auto" w:fill="8DD873" w:themeFill="accent6" w:themeFillTint="99"/>
                  <w:noWrap/>
                  <w:vAlign w:val="center"/>
                  <w:hideMark/>
                </w:tcPr>
                <w:p w14:paraId="79ADA061"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993" w:type="dxa"/>
                  <w:shd w:val="clear" w:color="auto" w:fill="FFFF00"/>
                  <w:vAlign w:val="center"/>
                  <w:hideMark/>
                </w:tcPr>
                <w:p w14:paraId="14EEAACB"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p>
              </w:tc>
              <w:tc>
                <w:tcPr>
                  <w:tcW w:w="1287" w:type="dxa"/>
                  <w:shd w:val="clear" w:color="auto" w:fill="EE0000"/>
                  <w:noWrap/>
                  <w:vAlign w:val="center"/>
                  <w:hideMark/>
                </w:tcPr>
                <w:p w14:paraId="231AE379"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8</w:t>
                  </w:r>
                </w:p>
              </w:tc>
              <w:tc>
                <w:tcPr>
                  <w:tcW w:w="774" w:type="dxa"/>
                  <w:shd w:val="clear" w:color="auto" w:fill="FFFFFF" w:themeFill="background1"/>
                  <w:noWrap/>
                  <w:vAlign w:val="center"/>
                  <w:hideMark/>
                </w:tcPr>
                <w:p w14:paraId="5995557F"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9</w:t>
                  </w:r>
                </w:p>
              </w:tc>
            </w:tr>
            <w:tr w:rsidR="004D6E4C" w:rsidRPr="00892E76" w14:paraId="44ED1BC5" w14:textId="77777777" w:rsidTr="001B1C7A">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439" w:type="dxa"/>
                  <w:shd w:val="clear" w:color="auto" w:fill="FFFFFF" w:themeFill="background1"/>
                  <w:noWrap/>
                  <w:vAlign w:val="center"/>
                  <w:hideMark/>
                </w:tcPr>
                <w:p w14:paraId="36948FCC" w14:textId="77777777" w:rsidR="004D6E4C" w:rsidRPr="00892E76" w:rsidRDefault="004D6E4C"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5</w:t>
                  </w:r>
                </w:p>
              </w:tc>
              <w:tc>
                <w:tcPr>
                  <w:tcW w:w="3137" w:type="dxa"/>
                  <w:shd w:val="clear" w:color="auto" w:fill="FFFFFF" w:themeFill="background1"/>
                  <w:vAlign w:val="center"/>
                  <w:hideMark/>
                </w:tcPr>
                <w:p w14:paraId="7C5D5A4D" w14:textId="77777777" w:rsidR="004D6E4C" w:rsidRPr="00892E76" w:rsidRDefault="004D6E4C" w:rsidP="001B1C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Борлуулалтын ашигт ажиллагаа</w:t>
                  </w:r>
                </w:p>
              </w:tc>
              <w:tc>
                <w:tcPr>
                  <w:tcW w:w="1134" w:type="dxa"/>
                  <w:shd w:val="clear" w:color="auto" w:fill="8DD873" w:themeFill="accent6" w:themeFillTint="99"/>
                  <w:noWrap/>
                  <w:vAlign w:val="center"/>
                  <w:hideMark/>
                </w:tcPr>
                <w:p w14:paraId="245E29F8"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4</w:t>
                  </w:r>
                </w:p>
              </w:tc>
              <w:tc>
                <w:tcPr>
                  <w:tcW w:w="993" w:type="dxa"/>
                  <w:shd w:val="clear" w:color="auto" w:fill="FFFF00"/>
                  <w:noWrap/>
                  <w:vAlign w:val="center"/>
                  <w:hideMark/>
                </w:tcPr>
                <w:p w14:paraId="4B7CDB72"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p>
              </w:tc>
              <w:tc>
                <w:tcPr>
                  <w:tcW w:w="1287" w:type="dxa"/>
                  <w:shd w:val="clear" w:color="auto" w:fill="EE0000"/>
                  <w:noWrap/>
                  <w:vAlign w:val="center"/>
                  <w:hideMark/>
                </w:tcPr>
                <w:p w14:paraId="0FFB81C7"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5</w:t>
                  </w:r>
                </w:p>
              </w:tc>
              <w:tc>
                <w:tcPr>
                  <w:tcW w:w="774" w:type="dxa"/>
                  <w:shd w:val="clear" w:color="auto" w:fill="FFFFFF" w:themeFill="background1"/>
                  <w:noWrap/>
                  <w:vAlign w:val="center"/>
                  <w:hideMark/>
                </w:tcPr>
                <w:p w14:paraId="3EAE6F35"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9</w:t>
                  </w:r>
                </w:p>
              </w:tc>
            </w:tr>
            <w:tr w:rsidR="004D6E4C" w:rsidRPr="00892E76" w14:paraId="7AC71CC1" w14:textId="77777777" w:rsidTr="001B1C7A">
              <w:trPr>
                <w:trHeight w:val="272"/>
                <w:jc w:val="center"/>
              </w:trPr>
              <w:tc>
                <w:tcPr>
                  <w:cnfStyle w:val="001000000000" w:firstRow="0" w:lastRow="0" w:firstColumn="1" w:lastColumn="0" w:oddVBand="0" w:evenVBand="0" w:oddHBand="0" w:evenHBand="0" w:firstRowFirstColumn="0" w:firstRowLastColumn="0" w:lastRowFirstColumn="0" w:lastRowLastColumn="0"/>
                  <w:tcW w:w="439" w:type="dxa"/>
                  <w:shd w:val="clear" w:color="auto" w:fill="FFFFFF" w:themeFill="background1"/>
                  <w:noWrap/>
                  <w:vAlign w:val="center"/>
                  <w:hideMark/>
                </w:tcPr>
                <w:p w14:paraId="574F3466" w14:textId="77777777" w:rsidR="004D6E4C" w:rsidRPr="00892E76" w:rsidRDefault="004D6E4C"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6</w:t>
                  </w:r>
                </w:p>
              </w:tc>
              <w:tc>
                <w:tcPr>
                  <w:tcW w:w="3137" w:type="dxa"/>
                  <w:shd w:val="clear" w:color="auto" w:fill="FFFFFF" w:themeFill="background1"/>
                  <w:vAlign w:val="center"/>
                  <w:hideMark/>
                </w:tcPr>
                <w:p w14:paraId="149A131C" w14:textId="77777777" w:rsidR="004D6E4C" w:rsidRPr="00892E76" w:rsidRDefault="004D6E4C" w:rsidP="001B1C7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Хөрөнгийн ашигт ажиллагаа</w:t>
                  </w:r>
                </w:p>
              </w:tc>
              <w:tc>
                <w:tcPr>
                  <w:tcW w:w="1134" w:type="dxa"/>
                  <w:shd w:val="clear" w:color="auto" w:fill="8DD873" w:themeFill="accent6" w:themeFillTint="99"/>
                  <w:noWrap/>
                  <w:vAlign w:val="center"/>
                  <w:hideMark/>
                </w:tcPr>
                <w:p w14:paraId="75DBDBC8"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p>
              </w:tc>
              <w:tc>
                <w:tcPr>
                  <w:tcW w:w="993" w:type="dxa"/>
                  <w:shd w:val="clear" w:color="auto" w:fill="FFFF00"/>
                  <w:noWrap/>
                  <w:vAlign w:val="center"/>
                  <w:hideMark/>
                </w:tcPr>
                <w:p w14:paraId="0E8B73DB"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2</w:t>
                  </w:r>
                </w:p>
              </w:tc>
              <w:tc>
                <w:tcPr>
                  <w:tcW w:w="1287" w:type="dxa"/>
                  <w:shd w:val="clear" w:color="auto" w:fill="EE0000"/>
                  <w:noWrap/>
                  <w:vAlign w:val="center"/>
                  <w:hideMark/>
                </w:tcPr>
                <w:p w14:paraId="16E85720"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14</w:t>
                  </w:r>
                </w:p>
              </w:tc>
              <w:tc>
                <w:tcPr>
                  <w:tcW w:w="774" w:type="dxa"/>
                  <w:shd w:val="clear" w:color="auto" w:fill="FFFFFF" w:themeFill="background1"/>
                  <w:noWrap/>
                  <w:vAlign w:val="center"/>
                  <w:hideMark/>
                </w:tcPr>
                <w:p w14:paraId="6A6333CD"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16</w:t>
                  </w:r>
                </w:p>
              </w:tc>
            </w:tr>
            <w:tr w:rsidR="004D6E4C" w:rsidRPr="00892E76" w14:paraId="46C7ED99" w14:textId="77777777" w:rsidTr="001B1C7A">
              <w:trPr>
                <w:cnfStyle w:val="000000100000" w:firstRow="0" w:lastRow="0" w:firstColumn="0" w:lastColumn="0" w:oddVBand="0" w:evenVBand="0" w:oddHBand="1"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439" w:type="dxa"/>
                  <w:shd w:val="clear" w:color="auto" w:fill="FFFFFF" w:themeFill="background1"/>
                  <w:noWrap/>
                  <w:vAlign w:val="center"/>
                  <w:hideMark/>
                </w:tcPr>
                <w:p w14:paraId="43A71DC9" w14:textId="77777777" w:rsidR="004D6E4C" w:rsidRPr="00892E76" w:rsidRDefault="004D6E4C" w:rsidP="001B1C7A">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7</w:t>
                  </w:r>
                </w:p>
              </w:tc>
              <w:tc>
                <w:tcPr>
                  <w:tcW w:w="3137" w:type="dxa"/>
                  <w:shd w:val="clear" w:color="auto" w:fill="FFFFFF" w:themeFill="background1"/>
                  <w:vAlign w:val="center"/>
                  <w:hideMark/>
                </w:tcPr>
                <w:p w14:paraId="7D2E83A7" w14:textId="77777777" w:rsidR="004D6E4C" w:rsidRPr="00892E76" w:rsidRDefault="004D6E4C" w:rsidP="001B1C7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Эздийн өмчийн ашигт ажиллагаа</w:t>
                  </w:r>
                </w:p>
              </w:tc>
              <w:tc>
                <w:tcPr>
                  <w:tcW w:w="1134" w:type="dxa"/>
                  <w:shd w:val="clear" w:color="auto" w:fill="8DD873" w:themeFill="accent6" w:themeFillTint="99"/>
                  <w:noWrap/>
                  <w:vAlign w:val="center"/>
                  <w:hideMark/>
                </w:tcPr>
                <w:p w14:paraId="7C7DA37D"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2</w:t>
                  </w:r>
                </w:p>
              </w:tc>
              <w:tc>
                <w:tcPr>
                  <w:tcW w:w="993" w:type="dxa"/>
                  <w:shd w:val="clear" w:color="auto" w:fill="FFFF00"/>
                  <w:vAlign w:val="center"/>
                  <w:hideMark/>
                </w:tcPr>
                <w:p w14:paraId="7AF5DC21"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p>
              </w:tc>
              <w:tc>
                <w:tcPr>
                  <w:tcW w:w="1287" w:type="dxa"/>
                  <w:shd w:val="clear" w:color="auto" w:fill="EE0000"/>
                  <w:noWrap/>
                  <w:vAlign w:val="center"/>
                  <w:hideMark/>
                </w:tcPr>
                <w:p w14:paraId="450AE994"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14</w:t>
                  </w:r>
                </w:p>
              </w:tc>
              <w:tc>
                <w:tcPr>
                  <w:tcW w:w="774" w:type="dxa"/>
                  <w:shd w:val="clear" w:color="auto" w:fill="FFFFFF" w:themeFill="background1"/>
                  <w:noWrap/>
                  <w:vAlign w:val="center"/>
                  <w:hideMark/>
                </w:tcPr>
                <w:p w14:paraId="4EAFBBE4" w14:textId="77777777" w:rsidR="004D6E4C" w:rsidRPr="00892E76" w:rsidRDefault="004D6E4C" w:rsidP="001B1C7A">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16</w:t>
                  </w:r>
                </w:p>
              </w:tc>
            </w:tr>
            <w:tr w:rsidR="004D6E4C" w:rsidRPr="00892E76" w14:paraId="759AF76E" w14:textId="77777777" w:rsidTr="001B1C7A">
              <w:trPr>
                <w:trHeight w:val="265"/>
                <w:jc w:val="center"/>
              </w:trPr>
              <w:tc>
                <w:tcPr>
                  <w:cnfStyle w:val="001000000000" w:firstRow="0" w:lastRow="0" w:firstColumn="1" w:lastColumn="0" w:oddVBand="0" w:evenVBand="0" w:oddHBand="0" w:evenHBand="0" w:firstRowFirstColumn="0" w:firstRowLastColumn="0" w:lastRowFirstColumn="0" w:lastRowLastColumn="0"/>
                  <w:tcW w:w="3576" w:type="dxa"/>
                  <w:gridSpan w:val="2"/>
                  <w:shd w:val="clear" w:color="auto" w:fill="F2CEED" w:themeFill="accent5" w:themeFillTint="33"/>
                  <w:noWrap/>
                  <w:vAlign w:val="center"/>
                  <w:hideMark/>
                </w:tcPr>
                <w:p w14:paraId="7EF2E344" w14:textId="77777777" w:rsidR="004D6E4C" w:rsidRPr="00892E76" w:rsidRDefault="004D6E4C" w:rsidP="001B1C7A">
                  <w:pPr>
                    <w:jc w:val="center"/>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Дүн</w:t>
                  </w:r>
                </w:p>
              </w:tc>
              <w:tc>
                <w:tcPr>
                  <w:tcW w:w="1134" w:type="dxa"/>
                  <w:shd w:val="clear" w:color="auto" w:fill="8DD873" w:themeFill="accent6" w:themeFillTint="99"/>
                  <w:noWrap/>
                  <w:vAlign w:val="center"/>
                  <w:hideMark/>
                </w:tcPr>
                <w:p w14:paraId="47059BFE"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15</w:t>
                  </w:r>
                </w:p>
              </w:tc>
              <w:tc>
                <w:tcPr>
                  <w:tcW w:w="993" w:type="dxa"/>
                  <w:shd w:val="clear" w:color="auto" w:fill="FFFF00"/>
                  <w:noWrap/>
                  <w:vAlign w:val="center"/>
                  <w:hideMark/>
                </w:tcPr>
                <w:p w14:paraId="3D3E3584"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2</w:t>
                  </w:r>
                </w:p>
              </w:tc>
              <w:tc>
                <w:tcPr>
                  <w:tcW w:w="1287" w:type="dxa"/>
                  <w:shd w:val="clear" w:color="auto" w:fill="EE0000"/>
                  <w:noWrap/>
                  <w:vAlign w:val="center"/>
                  <w:hideMark/>
                </w:tcPr>
                <w:p w14:paraId="1697E56B"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74</w:t>
                  </w:r>
                </w:p>
              </w:tc>
              <w:tc>
                <w:tcPr>
                  <w:tcW w:w="774" w:type="dxa"/>
                  <w:shd w:val="clear" w:color="auto" w:fill="F2CEED" w:themeFill="accent5" w:themeFillTint="33"/>
                  <w:noWrap/>
                  <w:vAlign w:val="center"/>
                  <w:hideMark/>
                </w:tcPr>
                <w:p w14:paraId="5C48F2E4" w14:textId="77777777" w:rsidR="004D6E4C" w:rsidRPr="00892E76" w:rsidRDefault="004D6E4C" w:rsidP="001B1C7A">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91</w:t>
                  </w:r>
                </w:p>
              </w:tc>
            </w:tr>
          </w:tbl>
          <w:p w14:paraId="551338A9" w14:textId="77777777" w:rsidR="004D6E4C" w:rsidRPr="00892E76" w:rsidRDefault="004D6E4C" w:rsidP="001B1C7A">
            <w:pPr>
              <w:pStyle w:val="Paragraph1"/>
              <w:spacing w:after="0"/>
              <w:ind w:left="720" w:firstLine="720"/>
              <w:jc w:val="right"/>
              <w:rPr>
                <w:rFonts w:ascii="Arial" w:eastAsia="Arial" w:hAnsi="Arial" w:cs="Arial"/>
                <w:i/>
                <w:iCs/>
                <w:sz w:val="16"/>
                <w:szCs w:val="16"/>
              </w:rPr>
            </w:pPr>
            <w:r w:rsidRPr="00892E76">
              <w:rPr>
                <w:rFonts w:ascii="Arial" w:eastAsia="Arial" w:hAnsi="Arial" w:cs="Arial"/>
                <w:i/>
                <w:iCs/>
                <w:sz w:val="16"/>
                <w:szCs w:val="16"/>
              </w:rPr>
              <w:t>Эх сурвалж: Нэгдлийн охин, хараат компаниас ирүүлсэн 2025 оны эхний хагас жилийн санхүүгийн тайлан, аудиторын ажлын дэвтэр</w:t>
            </w:r>
          </w:p>
          <w:p w14:paraId="5D71956B" w14:textId="77777777" w:rsidR="004D6E4C" w:rsidRPr="00892E76" w:rsidRDefault="004D6E4C" w:rsidP="001B1C7A">
            <w:pPr>
              <w:pStyle w:val="Paragraph1"/>
              <w:spacing w:after="0"/>
              <w:ind w:firstLine="426"/>
              <w:rPr>
                <w:rFonts w:ascii="Arial" w:hAnsi="Arial" w:cs="Arial"/>
                <w:sz w:val="20"/>
                <w:szCs w:val="20"/>
              </w:rPr>
            </w:pPr>
            <w:r w:rsidRPr="00892E76">
              <w:rPr>
                <w:rFonts w:ascii="Arial" w:hAnsi="Arial" w:cs="Arial"/>
                <w:sz w:val="20"/>
                <w:szCs w:val="20"/>
              </w:rPr>
              <w:t xml:space="preserve">Нэгдлийн 16 компанийн санхүүгийн шинжилгээний 7 үзүүлэлтээр тооцоход зохистой түвшинд буюу хэвийн 17, зохистой түвшнээс бага буюу эрсдэлтэй 74 байна. </w:t>
            </w:r>
          </w:p>
          <w:p w14:paraId="697E0488" w14:textId="77777777" w:rsidR="004D6E4C" w:rsidRPr="00892E76" w:rsidRDefault="004D6E4C" w:rsidP="001B1C7A">
            <w:pPr>
              <w:pStyle w:val="Paragraph1"/>
              <w:spacing w:after="0"/>
              <w:ind w:firstLine="426"/>
              <w:rPr>
                <w:rFonts w:ascii="Arial" w:hAnsi="Arial" w:cs="Arial"/>
                <w:sz w:val="20"/>
                <w:szCs w:val="20"/>
              </w:rPr>
            </w:pPr>
            <w:r w:rsidRPr="00892E76">
              <w:rPr>
                <w:rFonts w:ascii="Arial" w:hAnsi="Arial" w:cs="Arial"/>
                <w:sz w:val="20"/>
                <w:szCs w:val="20"/>
              </w:rPr>
              <w:t xml:space="preserve">Энэ нь менежментийн компанийн зээлийн санхүүжилт, түүний хүү жил тутам өсөж, хөрөнгө, өр төлбөр ба эздийн өмчийн ашигт ажиллагаа сөрөг үзүүлэлттэй, мөн үйлдвэрлэлийн үйл ажиллагаа эрхэлж байгаа компаниуд буюу “Дарханы Төмөрлөгийн үйлдвэр” ХХК, “Цемент Шохой” ХХК, “Эрдэнэс Алт Ресурс” ХХК, “Шивээ Овоо” ХК-уудын өр төлбөрийн дүн нийт хөрөнгийнхөө 87 хувьтай тэнцэж байгаатай тус тус холбоотой байна. </w:t>
            </w:r>
          </w:p>
          <w:p w14:paraId="2280CD5E" w14:textId="77777777" w:rsidR="004D6E4C" w:rsidRPr="00892E76" w:rsidRDefault="004D6E4C" w:rsidP="001B1C7A">
            <w:pPr>
              <w:ind w:firstLine="426"/>
              <w:jc w:val="both"/>
              <w:rPr>
                <w:rFonts w:ascii="Arial" w:hAnsi="Arial" w:cs="Arial"/>
                <w:sz w:val="20"/>
                <w:szCs w:val="20"/>
              </w:rPr>
            </w:pPr>
            <w:r w:rsidRPr="00892E76">
              <w:rPr>
                <w:rFonts w:ascii="Arial" w:hAnsi="Arial" w:cs="Arial"/>
                <w:sz w:val="20"/>
                <w:szCs w:val="20"/>
              </w:rPr>
              <w:t>Борлуулалтын ашигт ажиллагааны үзүүлэлтээр үйлдвэрлэлийн үйл ажиллагаа эрхэлж байгаа “Эрдэнэт Үйлдвэр” ТӨҮГ, “Дарханы Төмөрлөгийн үйлдвэр” ХХК, “Эрдэнэс Алт Ресурс” ХХК, “Эрдэнэс Тавантолгой” ХК-ууд 13-46.1 хувийн ашигтай ажиллаж байгаа бол “Цемент Шохой” ХХК, “</w:t>
            </w:r>
            <w:r w:rsidRPr="00892E76">
              <w:rPr>
                <w:rFonts w:ascii="Arial" w:eastAsia="Times New Roman" w:hAnsi="Arial" w:cs="Arial"/>
                <w:color w:val="000000"/>
                <w:kern w:val="0"/>
                <w:sz w:val="20"/>
                <w:szCs w:val="20"/>
                <w14:ligatures w14:val="none"/>
              </w:rPr>
              <w:t xml:space="preserve">Эрдэнэс Критикал Минералс” ТӨҮГ, “Гашуунсухайт авто зам” ХХК, “Багануур” ХК, “Шивээ Овоо” ХК -3.2 хувийн алдагдалтайгаас 3.8 хувийн ашиг бага, зардал өндөртэй ажиллаж байна. </w:t>
            </w:r>
            <w:r w:rsidRPr="00892E76">
              <w:rPr>
                <w:rFonts w:ascii="Arial" w:hAnsi="Arial" w:cs="Arial"/>
                <w:sz w:val="20"/>
                <w:szCs w:val="20"/>
              </w:rPr>
              <w:t xml:space="preserve"> </w:t>
            </w:r>
          </w:p>
          <w:p w14:paraId="42536192" w14:textId="77777777" w:rsidR="004D6E4C" w:rsidRPr="00892E76" w:rsidRDefault="004D6E4C" w:rsidP="001B1C7A">
            <w:pPr>
              <w:pStyle w:val="Paragraph1"/>
              <w:spacing w:after="0"/>
              <w:ind w:firstLine="426"/>
              <w:rPr>
                <w:rFonts w:ascii="Arial" w:hAnsi="Arial" w:cs="Arial"/>
                <w:sz w:val="20"/>
                <w:szCs w:val="20"/>
              </w:rPr>
            </w:pPr>
            <w:r w:rsidRPr="00892E76">
              <w:rPr>
                <w:rFonts w:ascii="Arial" w:hAnsi="Arial" w:cs="Arial"/>
                <w:sz w:val="20"/>
                <w:szCs w:val="20"/>
              </w:rPr>
              <w:t>Хөрөнгө болон эздийн өмчийн өгөөжийг тооцоход Дарханы Төмөрлөгийн Үйлдвэр ХХК, Цемент шохой” ХХК, “Эрдэнэс Критикал Минералс” ТӨҮГ, “Эрдэнэс Алт Ресурс” ХХК, “Эрдэнэс Таван Толгой” ХК, “Гашуунсухайт Автозам” ХХК, “Багануур” ХК, “Шивээ Овоо” ХК-ийн эздийн өмчийн болон хөрөнгийн ашигт ажиллагааны зохистой түвшинд хүрээгүй, мөн менежментийн 7 компани сөрөг үзүүлэлттэй байна.</w:t>
            </w:r>
          </w:p>
          <w:p w14:paraId="13D2F063" w14:textId="77777777" w:rsidR="004D6E4C" w:rsidRPr="00892E76" w:rsidRDefault="004D6E4C" w:rsidP="001B1C7A">
            <w:pPr>
              <w:pStyle w:val="Paragraph1"/>
              <w:ind w:firstLine="426"/>
              <w:rPr>
                <w:rFonts w:ascii="Arial" w:hAnsi="Arial" w:cs="Arial"/>
                <w:sz w:val="20"/>
                <w:szCs w:val="20"/>
              </w:rPr>
            </w:pPr>
            <w:r w:rsidRPr="00892E76">
              <w:rPr>
                <w:rFonts w:ascii="Arial" w:hAnsi="Arial" w:cs="Arial"/>
                <w:sz w:val="20"/>
                <w:szCs w:val="20"/>
              </w:rPr>
              <w:lastRenderedPageBreak/>
              <w:t xml:space="preserve">Бараа материалын эргэцийн үзүүлэлт “Гашуунсухайт авто зам” ХХК 27.9 хоног буюу хэвийн байгаа бол бусад үйлдвэрлэлийн үйл ажиллагаа эрхэлж буй компаниудын хувьд 144.1-1071.6 хоног байна. Энэ нь бараа материалын нөөц их байгааг илэрхийлж байна. </w:t>
            </w:r>
          </w:p>
          <w:p w14:paraId="1E5CD158" w14:textId="77777777" w:rsidR="004D6E4C" w:rsidRPr="00892E76" w:rsidRDefault="004D6E4C" w:rsidP="001B1C7A">
            <w:pPr>
              <w:jc w:val="both"/>
              <w:rPr>
                <w:rFonts w:ascii="Arial" w:eastAsia="Arial" w:hAnsi="Arial" w:cs="Arial"/>
                <w:color w:val="000000" w:themeColor="text1"/>
                <w:sz w:val="20"/>
                <w:szCs w:val="20"/>
              </w:rPr>
            </w:pPr>
            <w:r w:rsidRPr="00892E76">
              <w:rPr>
                <w:rFonts w:ascii="Arial" w:eastAsia="Arial" w:hAnsi="Arial" w:cs="Arial"/>
                <w:color w:val="000000" w:themeColor="text1"/>
                <w:sz w:val="20"/>
                <w:szCs w:val="20"/>
              </w:rPr>
              <w:t>Дээрх үзүүлэлтүүдээс харахад уул уурхайн үйлдвэрлэл нь хөрөнгө их шаардсан, мөчлөгтэй, мөнгөн урсгал удаашралтай салбар тул өрийн түвшин, эргэлтийн үзүүлэлтүүд болон ашигт ажиллагааг уламжлалт салбараас өөр босго утгаар үнэлэх шаардлагатай байгааг илэрхийлж байна.</w:t>
            </w:r>
          </w:p>
        </w:tc>
      </w:tr>
      <w:tr w:rsidR="004D6E4C" w:rsidRPr="00892E76" w14:paraId="34247FE4" w14:textId="77777777" w:rsidTr="001B1C7A">
        <w:trPr>
          <w:trHeight w:val="300"/>
        </w:trPr>
        <w:tc>
          <w:tcPr>
            <w:tcW w:w="1413" w:type="dxa"/>
            <w:tcMar>
              <w:left w:w="108" w:type="dxa"/>
              <w:right w:w="108" w:type="dxa"/>
            </w:tcMar>
            <w:vAlign w:val="center"/>
          </w:tcPr>
          <w:p w14:paraId="1B9786B8" w14:textId="77777777" w:rsidR="004D6E4C" w:rsidRPr="00892E76" w:rsidRDefault="004D6E4C" w:rsidP="001B1C7A">
            <w:pPr>
              <w:jc w:val="center"/>
            </w:pPr>
            <w:r w:rsidRPr="00892E76">
              <w:rPr>
                <w:rFonts w:ascii="Arial" w:eastAsia="Arial" w:hAnsi="Arial" w:cs="Arial"/>
                <w:color w:val="000000" w:themeColor="text1"/>
                <w:sz w:val="20"/>
                <w:szCs w:val="20"/>
              </w:rPr>
              <w:lastRenderedPageBreak/>
              <w:t>Шалгуур</w:t>
            </w:r>
          </w:p>
        </w:tc>
        <w:tc>
          <w:tcPr>
            <w:tcW w:w="8080" w:type="dxa"/>
            <w:gridSpan w:val="3"/>
            <w:tcMar>
              <w:left w:w="108" w:type="dxa"/>
              <w:right w:w="108" w:type="dxa"/>
            </w:tcMar>
          </w:tcPr>
          <w:p w14:paraId="1F18137E" w14:textId="77777777" w:rsidR="004D6E4C" w:rsidRPr="00892E76" w:rsidRDefault="004D6E4C" w:rsidP="004D6E4C">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Төрийн болон орон нутгийн өмчийн тухай хуулийн 67 дугаар зүйлийн 67.1 “Төрийн өмчит хуулийн этгээдийн эрх баригч нь өмч хөрөнгийн хадгалалт, хамгаалалтын байдалд өдөр тутам тавих дотоод хяналтыг зохион байгуулж, түүний үр дүнг төрийн өмнө хариуцна”;</w:t>
            </w:r>
          </w:p>
          <w:p w14:paraId="79B089A8" w14:textId="77777777" w:rsidR="004D6E4C" w:rsidRPr="00892E76" w:rsidRDefault="004D6E4C" w:rsidP="004D6E4C">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Компанийн тухай хуулийн 83 дугаар зүйлийн 83.1 “Гүйцэтгэх удирдлага нь компанийн дүрэм болон төлөөлөн удирдах зөвлөл /байхгүй бол хувьцаа эзэмшигчдийн хурал/-тэй байгуулсан гэрээнд заасан эрх хэмжээний дотор компанийн өдөр тутмын үйл ажиллагааг удирдан зохион байгуулна”, 95 дугаар зүйлийн 95.1 “Компани нь хуулиар тогтоосон журмын дагуу нягтлан бодох бүртгэл хөтлөн санхүүгийн тайлан гаргаж, хувьцаа эзэмшигч болон эрх бүхий бусад этгээдэд танилцуулна”, 95.4 “Компанийн гүйцэтгэх удирдлага тухайн компанийн нягтлан бодох бүртгэл санхүүгийн тайлангийн үнэн зөвийг хариуцна”;</w:t>
            </w:r>
          </w:p>
          <w:p w14:paraId="049DFDC7" w14:textId="77777777" w:rsidR="004D6E4C" w:rsidRPr="00892E76" w:rsidRDefault="004D6E4C" w:rsidP="004D6E4C">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Нягтлан бодох бүртгэлийн тухай хуулийн 8 дугаар зүйлийн 8.4 “Аж ахуйн нэгж, байгууллагын гүйцэтгэх удирдлага болон ерөнхий нягтлан бодогч санхүүгийн тайланд гарын үсэг зурж, тамга /тэмдэг/ дарж баталгаажуулах бөгөөд гүйцэтгэх удирдлага санхүүгийн тайлангийн үнэн зөвийг хариуцна”; </w:t>
            </w:r>
          </w:p>
          <w:p w14:paraId="3C1D65A1" w14:textId="77777777" w:rsidR="004D6E4C" w:rsidRPr="00892E76" w:rsidRDefault="004D6E4C" w:rsidP="004D6E4C">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Засгийн газрын 2023 оны 108 дугаар тогтоолоор баталсан “Эрдэнэс Монгол” ХХК-ийн дүрмийн 3.5.1 “Компани нь нэгдлийг үйл ажиллагааны чиглэлээр бүлэглэн, группийн зохион байгуулалтаар ажиллуулах бөгөөд стратеги төлөвлөгөө, бодлого, үйл ажиллагааны уялдаа зохицуулалт, нэгдсэн удирдлагаар хангаж, засаглал, удирдлага менежментийг сайжруулж ажиллана”, 3.5.8 “Компанийн охин, хараат компани, харьяа хуулийн этгээд төслийн нэгжийн санхүүгийн зохистой харьцаа, үзүүлэлт алдагдсан тохиолдолд нэгдлийн нэгдсэн стратеги, төлөвлөгөө, үйл ажиллагааны хүрээнд шийдвэрлэж болно”;</w:t>
            </w:r>
          </w:p>
          <w:p w14:paraId="4ED09D04" w14:textId="77777777" w:rsidR="004D6E4C" w:rsidRPr="00892E76" w:rsidRDefault="004D6E4C" w:rsidP="004D6E4C">
            <w:pPr>
              <w:pStyle w:val="ListParagraph"/>
              <w:numPr>
                <w:ilvl w:val="0"/>
                <w:numId w:val="1"/>
              </w:numPr>
              <w:spacing w:line="240" w:lineRule="auto"/>
              <w:ind w:left="76" w:hanging="90"/>
              <w:jc w:val="both"/>
            </w:pPr>
            <w:r w:rsidRPr="00892E76">
              <w:rPr>
                <w:rFonts w:ascii="Arial" w:hAnsi="Arial" w:cs="Arial"/>
                <w:sz w:val="20"/>
                <w:szCs w:val="20"/>
              </w:rPr>
              <w:t>Компанийн 2025 оны эхний хагас жилийн санхүүгийн тайлан;</w:t>
            </w:r>
          </w:p>
        </w:tc>
      </w:tr>
      <w:tr w:rsidR="004D6E4C" w:rsidRPr="00892E76" w14:paraId="5687732F" w14:textId="77777777" w:rsidTr="001B1C7A">
        <w:trPr>
          <w:trHeight w:val="300"/>
        </w:trPr>
        <w:tc>
          <w:tcPr>
            <w:tcW w:w="1413" w:type="dxa"/>
            <w:tcMar>
              <w:left w:w="108" w:type="dxa"/>
              <w:right w:w="108" w:type="dxa"/>
            </w:tcMar>
            <w:vAlign w:val="center"/>
          </w:tcPr>
          <w:p w14:paraId="774B14B5" w14:textId="77777777" w:rsidR="004D6E4C" w:rsidRPr="00892E76" w:rsidRDefault="004D6E4C" w:rsidP="001B1C7A">
            <w:pPr>
              <w:jc w:val="center"/>
            </w:pPr>
            <w:r w:rsidRPr="00892E76">
              <w:rPr>
                <w:rFonts w:ascii="Arial" w:eastAsia="Arial" w:hAnsi="Arial" w:cs="Arial"/>
                <w:color w:val="000000" w:themeColor="text1"/>
                <w:sz w:val="20"/>
                <w:szCs w:val="20"/>
              </w:rPr>
              <w:t>Шалтгаан</w:t>
            </w:r>
          </w:p>
        </w:tc>
        <w:tc>
          <w:tcPr>
            <w:tcW w:w="8080" w:type="dxa"/>
            <w:gridSpan w:val="3"/>
            <w:tcMar>
              <w:left w:w="108" w:type="dxa"/>
              <w:right w:w="108" w:type="dxa"/>
            </w:tcMar>
          </w:tcPr>
          <w:p w14:paraId="16665D84" w14:textId="77777777" w:rsidR="004D6E4C" w:rsidRPr="00892E76" w:rsidRDefault="004D6E4C" w:rsidP="004D6E4C">
            <w:pPr>
              <w:pStyle w:val="ListParagraph"/>
              <w:numPr>
                <w:ilvl w:val="0"/>
                <w:numId w:val="2"/>
              </w:numPr>
              <w:spacing w:line="240" w:lineRule="auto"/>
              <w:ind w:left="76" w:hanging="90"/>
              <w:jc w:val="both"/>
              <w:rPr>
                <w:rFonts w:ascii="Arial" w:hAnsi="Arial" w:cs="Arial"/>
                <w:sz w:val="20"/>
                <w:szCs w:val="20"/>
              </w:rPr>
            </w:pPr>
            <w:r w:rsidRPr="00892E76">
              <w:rPr>
                <w:rFonts w:ascii="Arial" w:hAnsi="Arial" w:cs="Arial"/>
                <w:sz w:val="20"/>
                <w:szCs w:val="20"/>
              </w:rPr>
              <w:t>Өр төлбөр өндөр байгаатай холбоотой;</w:t>
            </w:r>
          </w:p>
          <w:p w14:paraId="701E4ADF" w14:textId="77777777" w:rsidR="004D6E4C" w:rsidRPr="00892E76" w:rsidRDefault="004D6E4C" w:rsidP="004D6E4C">
            <w:pPr>
              <w:pStyle w:val="ListParagraph"/>
              <w:numPr>
                <w:ilvl w:val="0"/>
                <w:numId w:val="2"/>
              </w:numPr>
              <w:spacing w:line="240" w:lineRule="auto"/>
              <w:ind w:left="76" w:hanging="90"/>
              <w:jc w:val="both"/>
              <w:rPr>
                <w:rFonts w:ascii="Arial" w:hAnsi="Arial" w:cs="Arial"/>
                <w:sz w:val="20"/>
                <w:szCs w:val="20"/>
              </w:rPr>
            </w:pPr>
            <w:r w:rsidRPr="00892E76">
              <w:rPr>
                <w:rFonts w:ascii="Arial" w:hAnsi="Arial" w:cs="Arial"/>
                <w:sz w:val="20"/>
                <w:szCs w:val="20"/>
              </w:rPr>
              <w:t>Бүтээгдэхүүний өртөг болон ханшны өсөлтөөс;</w:t>
            </w:r>
          </w:p>
          <w:p w14:paraId="552B3683" w14:textId="77777777" w:rsidR="004D6E4C" w:rsidRPr="00892E76" w:rsidRDefault="004D6E4C" w:rsidP="004D6E4C">
            <w:pPr>
              <w:pStyle w:val="ListParagraph"/>
              <w:numPr>
                <w:ilvl w:val="0"/>
                <w:numId w:val="2"/>
              </w:numPr>
              <w:spacing w:line="240" w:lineRule="auto"/>
              <w:ind w:left="76" w:hanging="90"/>
              <w:jc w:val="both"/>
              <w:rPr>
                <w:rFonts w:ascii="Arial" w:hAnsi="Arial" w:cs="Arial"/>
                <w:sz w:val="20"/>
                <w:szCs w:val="20"/>
              </w:rPr>
            </w:pPr>
            <w:r w:rsidRPr="00892E76">
              <w:rPr>
                <w:rFonts w:ascii="Arial" w:hAnsi="Arial" w:cs="Arial"/>
                <w:sz w:val="20"/>
                <w:szCs w:val="20"/>
              </w:rPr>
              <w:t>Урт болон дунд хугацааны төлөвлөлт хангалтгүй;</w:t>
            </w:r>
          </w:p>
          <w:p w14:paraId="75D70FD6" w14:textId="77777777" w:rsidR="004D6E4C" w:rsidRPr="00892E76" w:rsidRDefault="004D6E4C" w:rsidP="004D6E4C">
            <w:pPr>
              <w:pStyle w:val="ListParagraph"/>
              <w:numPr>
                <w:ilvl w:val="0"/>
                <w:numId w:val="2"/>
              </w:numPr>
              <w:spacing w:line="240" w:lineRule="auto"/>
              <w:ind w:left="76" w:hanging="90"/>
              <w:jc w:val="both"/>
              <w:rPr>
                <w:rFonts w:ascii="Arial" w:hAnsi="Arial" w:cs="Arial"/>
                <w:sz w:val="20"/>
                <w:szCs w:val="20"/>
              </w:rPr>
            </w:pPr>
            <w:r w:rsidRPr="00892E76">
              <w:rPr>
                <w:rFonts w:ascii="Arial" w:hAnsi="Arial" w:cs="Arial"/>
                <w:sz w:val="20"/>
                <w:szCs w:val="20"/>
              </w:rPr>
              <w:t>Мэдээллийг тайлагнах нэгдсэн стандарт, шалгуур тодорхой бус;</w:t>
            </w:r>
          </w:p>
        </w:tc>
      </w:tr>
      <w:tr w:rsidR="004D6E4C" w:rsidRPr="00892E76" w14:paraId="43644529" w14:textId="77777777" w:rsidTr="001B1C7A">
        <w:trPr>
          <w:trHeight w:val="300"/>
        </w:trPr>
        <w:tc>
          <w:tcPr>
            <w:tcW w:w="1413" w:type="dxa"/>
            <w:tcMar>
              <w:left w:w="108" w:type="dxa"/>
              <w:right w:w="108" w:type="dxa"/>
            </w:tcMar>
            <w:vAlign w:val="center"/>
          </w:tcPr>
          <w:p w14:paraId="255AC863" w14:textId="77777777" w:rsidR="004D6E4C" w:rsidRPr="00892E76" w:rsidRDefault="004D6E4C" w:rsidP="001B1C7A">
            <w:pPr>
              <w:jc w:val="center"/>
            </w:pPr>
            <w:r w:rsidRPr="00892E76">
              <w:rPr>
                <w:rFonts w:ascii="Arial" w:eastAsia="Arial" w:hAnsi="Arial" w:cs="Arial"/>
                <w:color w:val="000000" w:themeColor="text1"/>
                <w:sz w:val="20"/>
                <w:szCs w:val="20"/>
              </w:rPr>
              <w:t>Үр нөлөө</w:t>
            </w:r>
          </w:p>
        </w:tc>
        <w:tc>
          <w:tcPr>
            <w:tcW w:w="8080" w:type="dxa"/>
            <w:gridSpan w:val="3"/>
            <w:tcMar>
              <w:left w:w="108" w:type="dxa"/>
              <w:right w:w="108" w:type="dxa"/>
            </w:tcMar>
          </w:tcPr>
          <w:p w14:paraId="26C6508A" w14:textId="77777777" w:rsidR="004D6E4C" w:rsidRPr="00892E76" w:rsidRDefault="004D6E4C" w:rsidP="004D6E4C">
            <w:pPr>
              <w:pStyle w:val="ListParagraph"/>
              <w:numPr>
                <w:ilvl w:val="0"/>
                <w:numId w:val="3"/>
              </w:numPr>
              <w:spacing w:line="240" w:lineRule="auto"/>
              <w:ind w:left="175" w:hanging="175"/>
              <w:jc w:val="both"/>
              <w:rPr>
                <w:rFonts w:ascii="Arial" w:eastAsia="Arial" w:hAnsi="Arial" w:cs="Arial"/>
                <w:color w:val="000000" w:themeColor="text1"/>
                <w:sz w:val="20"/>
                <w:szCs w:val="20"/>
              </w:rPr>
            </w:pPr>
            <w:r w:rsidRPr="00892E76">
              <w:rPr>
                <w:rFonts w:ascii="Arial" w:hAnsi="Arial" w:cs="Arial"/>
                <w:sz w:val="20"/>
                <w:szCs w:val="20"/>
              </w:rPr>
              <w:t>Өр төлбөрийн чадвар буурах, мөнгөн урсгал удаашрах;</w:t>
            </w:r>
          </w:p>
          <w:p w14:paraId="210C780E" w14:textId="77777777" w:rsidR="004D6E4C" w:rsidRPr="00892E76" w:rsidRDefault="004D6E4C" w:rsidP="004D6E4C">
            <w:pPr>
              <w:pStyle w:val="ListParagraph"/>
              <w:numPr>
                <w:ilvl w:val="0"/>
                <w:numId w:val="3"/>
              </w:numPr>
              <w:spacing w:line="240" w:lineRule="auto"/>
              <w:ind w:left="175" w:hanging="175"/>
              <w:jc w:val="both"/>
              <w:rPr>
                <w:rFonts w:ascii="Arial" w:eastAsia="Arial" w:hAnsi="Arial" w:cs="Arial"/>
                <w:color w:val="000000" w:themeColor="text1"/>
                <w:sz w:val="20"/>
                <w:szCs w:val="20"/>
              </w:rPr>
            </w:pPr>
            <w:r w:rsidRPr="00892E76">
              <w:rPr>
                <w:rFonts w:ascii="Arial" w:hAnsi="Arial" w:cs="Arial"/>
                <w:sz w:val="20"/>
                <w:szCs w:val="20"/>
              </w:rPr>
              <w:t>ХЭ, ТУЗ, бусад этгээдүүд буруу мэдээллээр хангагдаж, шийдвэр гаргалтад сөргөөр нөлөөлөх;</w:t>
            </w:r>
          </w:p>
          <w:p w14:paraId="76667438" w14:textId="77777777" w:rsidR="004D6E4C" w:rsidRPr="00892E76" w:rsidRDefault="004D6E4C" w:rsidP="004D6E4C">
            <w:pPr>
              <w:pStyle w:val="ListParagraph"/>
              <w:numPr>
                <w:ilvl w:val="0"/>
                <w:numId w:val="3"/>
              </w:numPr>
              <w:spacing w:line="240" w:lineRule="auto"/>
              <w:ind w:left="175" w:hanging="175"/>
              <w:jc w:val="both"/>
              <w:rPr>
                <w:rFonts w:ascii="Arial" w:eastAsia="Arial" w:hAnsi="Arial" w:cs="Arial"/>
                <w:color w:val="000000" w:themeColor="text1"/>
                <w:sz w:val="20"/>
                <w:szCs w:val="20"/>
              </w:rPr>
            </w:pPr>
            <w:r w:rsidRPr="00892E76">
              <w:rPr>
                <w:rFonts w:ascii="Arial" w:hAnsi="Arial" w:cs="Arial"/>
                <w:sz w:val="20"/>
                <w:szCs w:val="20"/>
              </w:rPr>
              <w:t>Компанийн үнэ цэн буурч, хөрөнгө оруулагч, харилцагчдын итгэл буурах;</w:t>
            </w:r>
          </w:p>
          <w:p w14:paraId="53857EF4" w14:textId="77777777" w:rsidR="004D6E4C" w:rsidRPr="00892E76" w:rsidRDefault="004D6E4C" w:rsidP="004D6E4C">
            <w:pPr>
              <w:pStyle w:val="ListParagraph"/>
              <w:numPr>
                <w:ilvl w:val="0"/>
                <w:numId w:val="3"/>
              </w:numPr>
              <w:spacing w:line="240" w:lineRule="auto"/>
              <w:ind w:left="175" w:hanging="175"/>
              <w:jc w:val="both"/>
              <w:rPr>
                <w:rFonts w:ascii="Arial" w:eastAsia="Arial" w:hAnsi="Arial" w:cs="Arial"/>
                <w:color w:val="000000" w:themeColor="text1"/>
                <w:sz w:val="20"/>
                <w:szCs w:val="20"/>
              </w:rPr>
            </w:pPr>
            <w:r w:rsidRPr="00892E76">
              <w:rPr>
                <w:rFonts w:ascii="Arial" w:hAnsi="Arial" w:cs="Arial"/>
                <w:sz w:val="20"/>
                <w:szCs w:val="20"/>
              </w:rPr>
              <w:t>Санхүүгийн төлөвлөлтөд сөргөөр нөлөөлж, алдагдалд хүргэх;</w:t>
            </w:r>
          </w:p>
        </w:tc>
      </w:tr>
      <w:tr w:rsidR="004D6E4C" w:rsidRPr="00892E76" w14:paraId="11922F2B" w14:textId="77777777" w:rsidTr="001B1C7A">
        <w:trPr>
          <w:trHeight w:val="300"/>
        </w:trPr>
        <w:tc>
          <w:tcPr>
            <w:tcW w:w="1413" w:type="dxa"/>
            <w:tcMar>
              <w:left w:w="108" w:type="dxa"/>
              <w:right w:w="108" w:type="dxa"/>
            </w:tcMar>
            <w:vAlign w:val="center"/>
          </w:tcPr>
          <w:p w14:paraId="78BE0CA9" w14:textId="77777777" w:rsidR="004D6E4C" w:rsidRPr="00892E76" w:rsidRDefault="004D6E4C" w:rsidP="001B1C7A">
            <w:pPr>
              <w:jc w:val="center"/>
            </w:pPr>
            <w:r w:rsidRPr="00892E76">
              <w:rPr>
                <w:rFonts w:ascii="Arial" w:eastAsia="Arial" w:hAnsi="Arial" w:cs="Arial"/>
                <w:color w:val="000000" w:themeColor="text1"/>
                <w:sz w:val="20"/>
                <w:szCs w:val="20"/>
              </w:rPr>
              <w:t>Аудитын зөвлөмж</w:t>
            </w:r>
          </w:p>
        </w:tc>
        <w:tc>
          <w:tcPr>
            <w:tcW w:w="8080" w:type="dxa"/>
            <w:gridSpan w:val="3"/>
            <w:tcMar>
              <w:left w:w="108" w:type="dxa"/>
              <w:right w:w="108" w:type="dxa"/>
            </w:tcMar>
            <w:vAlign w:val="center"/>
          </w:tcPr>
          <w:p w14:paraId="2DF89646" w14:textId="77777777" w:rsidR="004D6E4C" w:rsidRPr="00892E76" w:rsidRDefault="004D6E4C" w:rsidP="004D6E4C">
            <w:pPr>
              <w:pStyle w:val="ListParagraph"/>
              <w:numPr>
                <w:ilvl w:val="0"/>
                <w:numId w:val="4"/>
              </w:numPr>
              <w:tabs>
                <w:tab w:val="left" w:pos="0"/>
              </w:tabs>
              <w:spacing w:line="240" w:lineRule="auto"/>
              <w:ind w:left="76" w:hanging="90"/>
              <w:jc w:val="both"/>
              <w:rPr>
                <w:rFonts w:ascii="Arial" w:hAnsi="Arial" w:cs="Arial"/>
                <w:sz w:val="20"/>
                <w:szCs w:val="20"/>
              </w:rPr>
            </w:pPr>
            <w:r w:rsidRPr="00892E76">
              <w:rPr>
                <w:rFonts w:ascii="Arial" w:eastAsia="Arial" w:hAnsi="Arial" w:cs="Arial"/>
                <w:color w:val="000000" w:themeColor="text1"/>
                <w:sz w:val="20"/>
                <w:szCs w:val="20"/>
              </w:rPr>
              <w:t xml:space="preserve">Нэгдлийн компаниудын санхүүгийн үйл ажиллагааны зохистой түвшнийг тогтоох, дүн </w:t>
            </w:r>
            <w:r w:rsidRPr="00892E76">
              <w:rPr>
                <w:rFonts w:ascii="Arial" w:hAnsi="Arial" w:cs="Arial"/>
                <w:sz w:val="20"/>
                <w:szCs w:val="20"/>
              </w:rPr>
              <w:t>шинжилгээ хийх арга аргачлалыг боловсруулж, батлуулах;</w:t>
            </w:r>
          </w:p>
          <w:p w14:paraId="34A9BE0B" w14:textId="77777777" w:rsidR="004D6E4C" w:rsidRPr="00892E76" w:rsidRDefault="004D6E4C" w:rsidP="004D6E4C">
            <w:pPr>
              <w:pStyle w:val="ListParagraph"/>
              <w:numPr>
                <w:ilvl w:val="0"/>
                <w:numId w:val="4"/>
              </w:numPr>
              <w:tabs>
                <w:tab w:val="left" w:pos="0"/>
              </w:tabs>
              <w:spacing w:line="240" w:lineRule="auto"/>
              <w:ind w:left="76" w:hanging="90"/>
              <w:jc w:val="both"/>
              <w:rPr>
                <w:rFonts w:ascii="Arial" w:hAnsi="Arial" w:cs="Arial"/>
                <w:sz w:val="20"/>
                <w:szCs w:val="20"/>
              </w:rPr>
            </w:pPr>
            <w:r w:rsidRPr="00892E76">
              <w:rPr>
                <w:rFonts w:ascii="Arial" w:hAnsi="Arial" w:cs="Arial"/>
                <w:sz w:val="20"/>
                <w:szCs w:val="20"/>
              </w:rPr>
              <w:t>ХЭ болон ТУЗ-д санхүүгийн үр дүнг тайлагнахдаа шалтгаан, үр нөлөөг тодорхойлон багц хэлбэрээр оруулах;</w:t>
            </w:r>
          </w:p>
          <w:p w14:paraId="6EEC71D4" w14:textId="77777777" w:rsidR="004D6E4C" w:rsidRPr="00892E76" w:rsidRDefault="004D6E4C" w:rsidP="004D6E4C">
            <w:pPr>
              <w:pStyle w:val="ListParagraph"/>
              <w:numPr>
                <w:ilvl w:val="0"/>
                <w:numId w:val="4"/>
              </w:numPr>
              <w:tabs>
                <w:tab w:val="left" w:pos="0"/>
              </w:tabs>
              <w:spacing w:line="240" w:lineRule="auto"/>
              <w:ind w:left="76" w:hanging="90"/>
              <w:jc w:val="both"/>
              <w:rPr>
                <w:rFonts w:ascii="Arial" w:hAnsi="Arial" w:cs="Arial"/>
                <w:sz w:val="20"/>
                <w:szCs w:val="20"/>
              </w:rPr>
            </w:pPr>
            <w:r w:rsidRPr="00892E76">
              <w:rPr>
                <w:rFonts w:ascii="Arial" w:hAnsi="Arial" w:cs="Arial"/>
                <w:sz w:val="20"/>
                <w:szCs w:val="20"/>
              </w:rPr>
              <w:t>Санхүүгийн үр дүнг сайжруулах, мөнгөн урсгалд суурилсан хяналтын тогтолцоог сайжруулах;</w:t>
            </w:r>
          </w:p>
          <w:p w14:paraId="7FD7B6F1" w14:textId="77777777" w:rsidR="004D6E4C" w:rsidRPr="00892E76" w:rsidRDefault="004D6E4C" w:rsidP="004D6E4C">
            <w:pPr>
              <w:pStyle w:val="ListParagraph"/>
              <w:numPr>
                <w:ilvl w:val="0"/>
                <w:numId w:val="4"/>
              </w:numPr>
              <w:tabs>
                <w:tab w:val="left" w:pos="0"/>
              </w:tabs>
              <w:spacing w:line="240" w:lineRule="auto"/>
              <w:ind w:left="76" w:hanging="90"/>
              <w:jc w:val="both"/>
            </w:pPr>
            <w:r w:rsidRPr="00892E76">
              <w:rPr>
                <w:rFonts w:ascii="Arial" w:hAnsi="Arial" w:cs="Arial"/>
                <w:sz w:val="20"/>
                <w:szCs w:val="20"/>
              </w:rPr>
              <w:t xml:space="preserve">“Эрдэнэс Монгол” ХХК-аас мэдээллийн тайлагналд тодорхой стандарт, шалгуур тогтоох; </w:t>
            </w:r>
          </w:p>
        </w:tc>
      </w:tr>
      <w:tr w:rsidR="004D6E4C" w:rsidRPr="00892E76" w14:paraId="2751F1C5" w14:textId="77777777" w:rsidTr="001B1C7A">
        <w:trPr>
          <w:trHeight w:val="300"/>
        </w:trPr>
        <w:tc>
          <w:tcPr>
            <w:tcW w:w="1413" w:type="dxa"/>
            <w:tcMar>
              <w:left w:w="108" w:type="dxa"/>
              <w:right w:w="108" w:type="dxa"/>
            </w:tcMar>
            <w:vAlign w:val="center"/>
          </w:tcPr>
          <w:p w14:paraId="30284297" w14:textId="77777777" w:rsidR="004D6E4C" w:rsidRPr="00892E76" w:rsidRDefault="004D6E4C" w:rsidP="001B1C7A">
            <w:pPr>
              <w:jc w:val="center"/>
              <w:rPr>
                <w:rFonts w:ascii="Arial" w:eastAsia="Arial" w:hAnsi="Arial" w:cs="Arial"/>
                <w:color w:val="000000" w:themeColor="text1"/>
                <w:sz w:val="20"/>
                <w:szCs w:val="20"/>
              </w:rPr>
            </w:pPr>
            <w:r w:rsidRPr="00892E76">
              <w:rPr>
                <w:rFonts w:ascii="Arial" w:eastAsia="Arial" w:hAnsi="Arial" w:cs="Arial"/>
                <w:sz w:val="20"/>
                <w:szCs w:val="20"/>
              </w:rPr>
              <w:t>Аудитын үнэ цэн</w:t>
            </w:r>
          </w:p>
        </w:tc>
        <w:tc>
          <w:tcPr>
            <w:tcW w:w="8080" w:type="dxa"/>
            <w:gridSpan w:val="3"/>
            <w:tcMar>
              <w:left w:w="108" w:type="dxa"/>
              <w:right w:w="108" w:type="dxa"/>
            </w:tcMar>
            <w:vAlign w:val="center"/>
          </w:tcPr>
          <w:p w14:paraId="138F56A7" w14:textId="77777777" w:rsidR="004D6E4C" w:rsidRPr="00892E76" w:rsidRDefault="004D6E4C" w:rsidP="004D6E4C">
            <w:pPr>
              <w:pStyle w:val="ListParagraph"/>
              <w:numPr>
                <w:ilvl w:val="0"/>
                <w:numId w:val="4"/>
              </w:numPr>
              <w:spacing w:line="240" w:lineRule="auto"/>
              <w:ind w:left="76" w:hanging="90"/>
              <w:jc w:val="both"/>
              <w:rPr>
                <w:rFonts w:ascii="Arial" w:eastAsia="Arial" w:hAnsi="Arial" w:cs="Arial"/>
                <w:color w:val="000000" w:themeColor="text1"/>
                <w:sz w:val="20"/>
                <w:szCs w:val="20"/>
              </w:rPr>
            </w:pPr>
            <w:r w:rsidRPr="00892E76">
              <w:rPr>
                <w:rFonts w:ascii="Arial" w:hAnsi="Arial" w:cs="Arial"/>
                <w:sz w:val="20"/>
                <w:szCs w:val="20"/>
              </w:rPr>
              <w:t>Санхүүгийн эрсдэлийг бодитой тодорхойлно;</w:t>
            </w:r>
          </w:p>
          <w:p w14:paraId="7CFBF631" w14:textId="77777777" w:rsidR="004D6E4C" w:rsidRPr="00892E76" w:rsidRDefault="004D6E4C" w:rsidP="004D6E4C">
            <w:pPr>
              <w:pStyle w:val="ListParagraph"/>
              <w:numPr>
                <w:ilvl w:val="0"/>
                <w:numId w:val="4"/>
              </w:numPr>
              <w:spacing w:line="240" w:lineRule="auto"/>
              <w:ind w:left="76" w:hanging="90"/>
              <w:jc w:val="both"/>
              <w:rPr>
                <w:rFonts w:ascii="Arial" w:eastAsia="Arial" w:hAnsi="Arial" w:cs="Arial"/>
                <w:color w:val="000000" w:themeColor="text1"/>
                <w:sz w:val="20"/>
                <w:szCs w:val="20"/>
              </w:rPr>
            </w:pPr>
            <w:r w:rsidRPr="00892E76">
              <w:rPr>
                <w:rFonts w:ascii="Arial" w:hAnsi="Arial" w:cs="Arial"/>
                <w:sz w:val="20"/>
                <w:szCs w:val="20"/>
              </w:rPr>
              <w:t>ХЭ, ТУЗ, хөрөнгө оруулагч, бусад этгээдүүдийн шийдвэр гаргалтад нөлөөлөх;</w:t>
            </w:r>
          </w:p>
          <w:p w14:paraId="6920B879" w14:textId="77777777" w:rsidR="004D6E4C" w:rsidRPr="00892E76" w:rsidRDefault="004D6E4C" w:rsidP="004D6E4C">
            <w:pPr>
              <w:pStyle w:val="ListParagraph"/>
              <w:numPr>
                <w:ilvl w:val="0"/>
                <w:numId w:val="4"/>
              </w:numPr>
              <w:spacing w:line="240" w:lineRule="auto"/>
              <w:ind w:left="76" w:hanging="90"/>
              <w:rPr>
                <w:rFonts w:ascii="Arial" w:eastAsia="Arial" w:hAnsi="Arial" w:cs="Arial"/>
                <w:color w:val="000000" w:themeColor="text1"/>
                <w:sz w:val="20"/>
                <w:szCs w:val="20"/>
              </w:rPr>
            </w:pPr>
            <w:r w:rsidRPr="00892E76">
              <w:rPr>
                <w:rFonts w:ascii="Arial" w:eastAsia="Arial" w:hAnsi="Arial" w:cs="Arial"/>
                <w:color w:val="000000" w:themeColor="text1"/>
                <w:sz w:val="20"/>
                <w:szCs w:val="20"/>
              </w:rPr>
              <w:t>Гүйцэтгэх удирдлага хууль зөрчих эрсдэлийг бууруулах.</w:t>
            </w:r>
          </w:p>
        </w:tc>
      </w:tr>
      <w:tr w:rsidR="004D6E4C" w:rsidRPr="00892E76" w14:paraId="509F0FB1" w14:textId="77777777" w:rsidTr="001B1C7A">
        <w:trPr>
          <w:trHeight w:val="300"/>
        </w:trPr>
        <w:tc>
          <w:tcPr>
            <w:tcW w:w="1413" w:type="dxa"/>
            <w:tcMar>
              <w:left w:w="108" w:type="dxa"/>
              <w:right w:w="108" w:type="dxa"/>
            </w:tcMar>
            <w:vAlign w:val="center"/>
          </w:tcPr>
          <w:p w14:paraId="0DB4D70E" w14:textId="77777777" w:rsidR="004D6E4C" w:rsidRPr="00892E76" w:rsidRDefault="004D6E4C" w:rsidP="001B1C7A">
            <w:pPr>
              <w:jc w:val="center"/>
              <w:rPr>
                <w:rFonts w:ascii="Arial" w:eastAsia="Arial" w:hAnsi="Arial" w:cs="Arial"/>
                <w:color w:val="000000" w:themeColor="text1"/>
                <w:sz w:val="20"/>
                <w:szCs w:val="20"/>
              </w:rPr>
            </w:pPr>
            <w:r w:rsidRPr="00892E76">
              <w:rPr>
                <w:rFonts w:ascii="Arial" w:eastAsia="Arial" w:hAnsi="Arial" w:cs="Arial"/>
                <w:sz w:val="20"/>
                <w:szCs w:val="20"/>
              </w:rPr>
              <w:lastRenderedPageBreak/>
              <w:t>Хариу тайлбар</w:t>
            </w:r>
          </w:p>
        </w:tc>
        <w:tc>
          <w:tcPr>
            <w:tcW w:w="8080" w:type="dxa"/>
            <w:gridSpan w:val="3"/>
            <w:tcMar>
              <w:left w:w="108" w:type="dxa"/>
              <w:right w:w="108" w:type="dxa"/>
            </w:tcMar>
            <w:vAlign w:val="center"/>
          </w:tcPr>
          <w:p w14:paraId="6DAAE84F" w14:textId="77777777" w:rsidR="004D6E4C" w:rsidRPr="00892E76" w:rsidRDefault="004D6E4C" w:rsidP="001B1C7A">
            <w:pPr>
              <w:rPr>
                <w:rFonts w:ascii="Arial" w:eastAsia="Arial" w:hAnsi="Arial" w:cs="Arial"/>
                <w:sz w:val="20"/>
                <w:szCs w:val="20"/>
              </w:rPr>
            </w:pPr>
            <w:r w:rsidRPr="00892E76">
              <w:rPr>
                <w:rFonts w:ascii="Arial" w:eastAsia="Arial" w:hAnsi="Arial" w:cs="Arial"/>
                <w:sz w:val="20"/>
                <w:szCs w:val="20"/>
              </w:rPr>
              <w:t>Хариу тайлбарыг хавсралт хэсгээс харна уу.</w:t>
            </w:r>
          </w:p>
        </w:tc>
      </w:tr>
      <w:tr w:rsidR="004D6E4C" w:rsidRPr="00892E76" w14:paraId="1BFFF311" w14:textId="77777777" w:rsidTr="001B1C7A">
        <w:trPr>
          <w:trHeight w:val="465"/>
        </w:trPr>
        <w:tc>
          <w:tcPr>
            <w:tcW w:w="1413" w:type="dxa"/>
            <w:tcMar>
              <w:left w:w="108" w:type="dxa"/>
              <w:right w:w="108" w:type="dxa"/>
            </w:tcMar>
            <w:vAlign w:val="center"/>
          </w:tcPr>
          <w:p w14:paraId="0129CFD9" w14:textId="77777777" w:rsidR="004D6E4C" w:rsidRPr="00892E76" w:rsidRDefault="004D6E4C" w:rsidP="001B1C7A">
            <w:pPr>
              <w:ind w:right="-65"/>
              <w:jc w:val="center"/>
              <w:rPr>
                <w:rFonts w:ascii="Arial" w:eastAsia="Arial" w:hAnsi="Arial" w:cs="Arial"/>
                <w:color w:val="000000" w:themeColor="text1"/>
                <w:sz w:val="20"/>
                <w:szCs w:val="20"/>
              </w:rPr>
            </w:pPr>
            <w:r w:rsidRPr="00892E76">
              <w:rPr>
                <w:rFonts w:ascii="Arial" w:eastAsia="Arial" w:hAnsi="Arial" w:cs="Arial"/>
                <w:sz w:val="20"/>
                <w:szCs w:val="20"/>
              </w:rPr>
              <w:t>Хэрэгжүүлэх хугацаа</w:t>
            </w:r>
          </w:p>
        </w:tc>
        <w:tc>
          <w:tcPr>
            <w:tcW w:w="1838" w:type="dxa"/>
            <w:tcMar>
              <w:left w:w="108" w:type="dxa"/>
              <w:right w:w="108" w:type="dxa"/>
            </w:tcMar>
            <w:vAlign w:val="center"/>
          </w:tcPr>
          <w:p w14:paraId="3C176371" w14:textId="77777777" w:rsidR="004D6E4C" w:rsidRPr="00892E76" w:rsidRDefault="004D6E4C" w:rsidP="001B1C7A">
            <w:pPr>
              <w:ind w:left="127" w:hanging="127"/>
              <w:jc w:val="center"/>
              <w:rPr>
                <w:rFonts w:ascii="Arial" w:eastAsia="Arial" w:hAnsi="Arial" w:cs="Arial"/>
                <w:color w:val="000000" w:themeColor="text1"/>
                <w:sz w:val="20"/>
                <w:szCs w:val="20"/>
              </w:rPr>
            </w:pPr>
            <w:r w:rsidRPr="00892E76">
              <w:rPr>
                <w:rFonts w:ascii="Arial" w:hAnsi="Arial" w:cs="Arial"/>
                <w:color w:val="000000" w:themeColor="text1"/>
                <w:sz w:val="20"/>
                <w:szCs w:val="20"/>
              </w:rPr>
              <w:t>2026 оны 2 дугаар улирал</w:t>
            </w:r>
          </w:p>
        </w:tc>
        <w:tc>
          <w:tcPr>
            <w:tcW w:w="1847" w:type="dxa"/>
            <w:vAlign w:val="center"/>
          </w:tcPr>
          <w:p w14:paraId="684EB4F3" w14:textId="77777777" w:rsidR="004D6E4C" w:rsidRPr="00892E76" w:rsidRDefault="004D6E4C" w:rsidP="001B1C7A">
            <w:pPr>
              <w:ind w:left="127" w:hanging="127"/>
              <w:jc w:val="center"/>
              <w:rPr>
                <w:rFonts w:ascii="Arial" w:eastAsia="Arial" w:hAnsi="Arial" w:cs="Arial"/>
                <w:color w:val="000000" w:themeColor="text1"/>
                <w:sz w:val="20"/>
                <w:szCs w:val="20"/>
              </w:rPr>
            </w:pPr>
            <w:r w:rsidRPr="00892E76">
              <w:rPr>
                <w:rFonts w:ascii="Arial" w:eastAsia="Arial" w:hAnsi="Arial" w:cs="Arial"/>
                <w:color w:val="000000" w:themeColor="text1"/>
                <w:sz w:val="20"/>
                <w:szCs w:val="20"/>
              </w:rPr>
              <w:t>Хэрэгжүүлэх нэгж</w:t>
            </w:r>
          </w:p>
        </w:tc>
        <w:tc>
          <w:tcPr>
            <w:tcW w:w="4395" w:type="dxa"/>
            <w:vAlign w:val="center"/>
          </w:tcPr>
          <w:p w14:paraId="2E80BDD9" w14:textId="77777777" w:rsidR="004D6E4C" w:rsidRPr="00892E76" w:rsidRDefault="004D6E4C" w:rsidP="001B1C7A">
            <w:pPr>
              <w:ind w:left="31" w:hanging="31"/>
              <w:rPr>
                <w:rFonts w:ascii="Arial" w:eastAsia="Arial" w:hAnsi="Arial" w:cs="Arial"/>
                <w:color w:val="000000" w:themeColor="text1"/>
                <w:sz w:val="20"/>
                <w:szCs w:val="20"/>
              </w:rPr>
            </w:pPr>
            <w:r w:rsidRPr="00892E76">
              <w:rPr>
                <w:rFonts w:ascii="Arial" w:hAnsi="Arial" w:cs="Arial"/>
                <w:sz w:val="20"/>
                <w:szCs w:val="20"/>
              </w:rPr>
              <w:t>Эрдэнэс Монгол ХХК-ийн гүйцэтгэх удирдлага, Нэгдлийн охин, хараат компанийн гүйцэтгэх удирдлага</w:t>
            </w:r>
          </w:p>
        </w:tc>
      </w:tr>
    </w:tbl>
    <w:p w14:paraId="28AA5657" w14:textId="77777777" w:rsidR="006E1A2D" w:rsidRDefault="006E1A2D"/>
    <w:sectPr w:rsidR="006E1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34C71"/>
    <w:multiLevelType w:val="hybridMultilevel"/>
    <w:tmpl w:val="AA82E484"/>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A80350"/>
    <w:multiLevelType w:val="hybridMultilevel"/>
    <w:tmpl w:val="52E6C2CE"/>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941EDA"/>
    <w:multiLevelType w:val="hybridMultilevel"/>
    <w:tmpl w:val="82B6F2AC"/>
    <w:lvl w:ilvl="0" w:tplc="2F4E3DEA">
      <w:start w:val="1"/>
      <w:numFmt w:val="bullet"/>
      <w:lvlText w:val="-"/>
      <w:lvlJc w:val="left"/>
      <w:pPr>
        <w:ind w:left="19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42133"/>
    <w:multiLevelType w:val="hybridMultilevel"/>
    <w:tmpl w:val="B3962D6A"/>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654344">
    <w:abstractNumId w:val="2"/>
  </w:num>
  <w:num w:numId="2" w16cid:durableId="329917957">
    <w:abstractNumId w:val="1"/>
  </w:num>
  <w:num w:numId="3" w16cid:durableId="1621691217">
    <w:abstractNumId w:val="3"/>
  </w:num>
  <w:num w:numId="4" w16cid:durableId="677195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E4C"/>
    <w:rsid w:val="000357EC"/>
    <w:rsid w:val="001A6BEB"/>
    <w:rsid w:val="00231788"/>
    <w:rsid w:val="002B7DAE"/>
    <w:rsid w:val="003949E2"/>
    <w:rsid w:val="003F5D46"/>
    <w:rsid w:val="004669A6"/>
    <w:rsid w:val="004D6E4C"/>
    <w:rsid w:val="00556745"/>
    <w:rsid w:val="006E1A2D"/>
    <w:rsid w:val="00916476"/>
    <w:rsid w:val="00AC2A50"/>
    <w:rsid w:val="00B47FE6"/>
    <w:rsid w:val="00C465D5"/>
    <w:rsid w:val="00C6343C"/>
    <w:rsid w:val="00D4417E"/>
    <w:rsid w:val="00D5499B"/>
    <w:rsid w:val="00F777A3"/>
    <w:rsid w:val="00FE3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D0164"/>
  <w15:chartTrackingRefBased/>
  <w15:docId w15:val="{EED20ED1-AA0F-4CF6-A5EF-EF11F1CB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E4C"/>
    <w:pPr>
      <w:spacing w:line="259" w:lineRule="auto"/>
    </w:pPr>
    <w:rPr>
      <w:rFonts w:ascii="Times New Roman" w:hAnsi="Times New Roman"/>
      <w:szCs w:val="22"/>
      <w:lang w:val="mn-MN"/>
    </w:rPr>
  </w:style>
  <w:style w:type="paragraph" w:styleId="Heading1">
    <w:name w:val="heading 1"/>
    <w:basedOn w:val="Normal"/>
    <w:next w:val="Normal"/>
    <w:link w:val="Heading1Char"/>
    <w:uiPriority w:val="9"/>
    <w:qFormat/>
    <w:rsid w:val="004D6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E4C"/>
    <w:rPr>
      <w:rFonts w:eastAsiaTheme="majorEastAsia" w:cstheme="majorBidi"/>
      <w:color w:val="272727" w:themeColor="text1" w:themeTint="D8"/>
    </w:rPr>
  </w:style>
  <w:style w:type="paragraph" w:styleId="Title">
    <w:name w:val="Title"/>
    <w:basedOn w:val="Normal"/>
    <w:next w:val="Normal"/>
    <w:link w:val="TitleChar"/>
    <w:uiPriority w:val="10"/>
    <w:qFormat/>
    <w:rsid w:val="004D6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E4C"/>
    <w:pPr>
      <w:spacing w:before="160"/>
      <w:jc w:val="center"/>
    </w:pPr>
    <w:rPr>
      <w:i/>
      <w:iCs/>
      <w:color w:val="404040" w:themeColor="text1" w:themeTint="BF"/>
    </w:rPr>
  </w:style>
  <w:style w:type="character" w:customStyle="1" w:styleId="QuoteChar">
    <w:name w:val="Quote Char"/>
    <w:basedOn w:val="DefaultParagraphFont"/>
    <w:link w:val="Quote"/>
    <w:uiPriority w:val="29"/>
    <w:rsid w:val="004D6E4C"/>
    <w:rPr>
      <w:i/>
      <w:iCs/>
      <w:color w:val="404040" w:themeColor="text1" w:themeTint="BF"/>
    </w:rPr>
  </w:style>
  <w:style w:type="paragraph" w:styleId="ListParagraph">
    <w:name w:val="List Paragraph"/>
    <w:aliases w:val="IBL List Paragraph,Дэд гарчиг,List Paragraph1,Bullets,AusAID List Paragraph,Figure Title,List Paragraph Num,Paragraph,List Paragraph2,Recommendation,List Paragraph11,Bulleted List Paragraph,Colorful List - Accent 11,References,Subtitle1"/>
    <w:basedOn w:val="Normal"/>
    <w:link w:val="ListParagraphChar"/>
    <w:uiPriority w:val="34"/>
    <w:qFormat/>
    <w:rsid w:val="004D6E4C"/>
    <w:pPr>
      <w:ind w:left="720"/>
      <w:contextualSpacing/>
    </w:pPr>
  </w:style>
  <w:style w:type="character" w:styleId="IntenseEmphasis">
    <w:name w:val="Intense Emphasis"/>
    <w:basedOn w:val="DefaultParagraphFont"/>
    <w:uiPriority w:val="21"/>
    <w:qFormat/>
    <w:rsid w:val="004D6E4C"/>
    <w:rPr>
      <w:i/>
      <w:iCs/>
      <w:color w:val="0F4761" w:themeColor="accent1" w:themeShade="BF"/>
    </w:rPr>
  </w:style>
  <w:style w:type="paragraph" w:styleId="IntenseQuote">
    <w:name w:val="Intense Quote"/>
    <w:basedOn w:val="Normal"/>
    <w:next w:val="Normal"/>
    <w:link w:val="IntenseQuoteChar"/>
    <w:uiPriority w:val="30"/>
    <w:qFormat/>
    <w:rsid w:val="004D6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E4C"/>
    <w:rPr>
      <w:i/>
      <w:iCs/>
      <w:color w:val="0F4761" w:themeColor="accent1" w:themeShade="BF"/>
    </w:rPr>
  </w:style>
  <w:style w:type="character" w:styleId="IntenseReference">
    <w:name w:val="Intense Reference"/>
    <w:basedOn w:val="DefaultParagraphFont"/>
    <w:uiPriority w:val="32"/>
    <w:qFormat/>
    <w:rsid w:val="004D6E4C"/>
    <w:rPr>
      <w:b/>
      <w:bCs/>
      <w:smallCaps/>
      <w:color w:val="0F4761" w:themeColor="accent1" w:themeShade="BF"/>
      <w:spacing w:val="5"/>
    </w:rPr>
  </w:style>
  <w:style w:type="table" w:styleId="TableGrid">
    <w:name w:val="Table Grid"/>
    <w:basedOn w:val="TableNormal"/>
    <w:uiPriority w:val="39"/>
    <w:rsid w:val="004D6E4C"/>
    <w:pPr>
      <w:spacing w:after="0" w:line="240" w:lineRule="auto"/>
    </w:pPr>
    <w:rPr>
      <w:rFonts w:ascii="Times New Roman" w:hAnsi="Times New Roman"/>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1">
    <w:name w:val="Paragraph1"/>
    <w:basedOn w:val="Normal"/>
    <w:uiPriority w:val="99"/>
    <w:rsid w:val="004D6E4C"/>
    <w:pPr>
      <w:keepLines/>
      <w:spacing w:after="120" w:line="240" w:lineRule="auto"/>
      <w:jc w:val="both"/>
    </w:pPr>
    <w:rPr>
      <w:rFonts w:eastAsia="MS Mincho" w:cs="Times New Roman"/>
      <w:kern w:val="0"/>
      <w:sz w:val="22"/>
      <w:szCs w:val="24"/>
      <w14:ligatures w14:val="none"/>
    </w:rPr>
  </w:style>
  <w:style w:type="character" w:customStyle="1" w:styleId="ListParagraphChar">
    <w:name w:val="List Paragraph Char"/>
    <w:aliases w:val="IBL List Paragraph Char,Дэд гарчиг Char,List Paragraph1 Char,Bullets Char,AusAID List Paragraph Char,Figure Title Char,List Paragraph Num Char,Paragraph Char,List Paragraph2 Char,Recommendation Char,List Paragraph11 Char"/>
    <w:link w:val="ListParagraph"/>
    <w:uiPriority w:val="34"/>
    <w:qFormat/>
    <w:rsid w:val="004D6E4C"/>
  </w:style>
  <w:style w:type="table" w:styleId="ListTable2-Accent5">
    <w:name w:val="List Table 2 Accent 5"/>
    <w:basedOn w:val="TableNormal"/>
    <w:uiPriority w:val="47"/>
    <w:rsid w:val="004D6E4C"/>
    <w:pPr>
      <w:spacing w:after="0" w:line="240" w:lineRule="auto"/>
    </w:pPr>
    <w:rPr>
      <w:rFonts w:ascii="Times New Roman" w:hAnsi="Times New Roman"/>
      <w:szCs w:val="22"/>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889</Words>
  <Characters>5561</Characters>
  <Application>Microsoft Office Word</Application>
  <DocSecurity>0</DocSecurity>
  <Lines>327</Lines>
  <Paragraphs>230</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Byambadorj Altansukh</dc:creator>
  <cp:keywords/>
  <dc:description/>
  <cp:lastModifiedBy>Byambadorj Altansukh</cp:lastModifiedBy>
  <cp:revision>1</cp:revision>
  <dcterms:created xsi:type="dcterms:W3CDTF">2026-03-12T01:56:00Z</dcterms:created>
  <dcterms:modified xsi:type="dcterms:W3CDTF">2026-03-12T01:57:00Z</dcterms:modified>
</cp:coreProperties>
</file>