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47" w:val="clear"/>
            <w:tcMar>
              <w:top w:type="dxa" w:w="320"/>
              <w:left w:type="dxa" w:w="360"/>
              <w:bottom w:type="dxa" w:w="320"/>
              <w:right w:type="dxa" w:w="200"/>
            </w:tcMar>
            <w:vAlign w:val="center"/>
          </w:tcPr>
          <w:p>
            <w:pPr>
              <w:spacing w:after="30" w:before="0" w:line="320"/>
            </w:pPr>
            <w:r>
              <w:rPr>
                <w:rFonts w:ascii="Cambria" w:cs="Cambria" w:eastAsia="Cambria" w:hAnsi="Cambria"/>
                <w:color w:val="FFFFFF"/>
                <w:sz w:val="44"/>
                <w:szCs w:val="44"/>
              </w:rPr>
              <w:t xml:space="preserve">Carine </w:t>
            </w:r>
            <w:r>
              <w:rPr>
                <w:rFonts w:ascii="Cambria" w:cs="Cambria" w:eastAsia="Cambria" w:hAnsi="Cambria"/>
                <w:b/>
                <w:bCs/>
                <w:color w:val="FFFFFF"/>
                <w:spacing w:val="30"/>
                <w:sz w:val="44"/>
                <w:szCs w:val="44"/>
              </w:rPr>
              <w:t xml:space="preserve">BYANDE</w:t>
            </w:r>
          </w:p>
          <w:p>
            <w:pPr>
              <w:spacing w:after="60" w:before="0" w:line="280"/>
            </w:pPr>
            <w:r>
              <w:rPr>
                <w:rFonts w:ascii="Cambria" w:cs="Cambria" w:eastAsia="Cambria" w:hAnsi="Cambria"/>
                <w:b/>
                <w:bCs/>
                <w:color w:val="D4B872"/>
                <w:sz w:val="24"/>
                <w:szCs w:val="24"/>
              </w:rPr>
              <w:t xml:space="preserve">Directrice des Opérations IT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i/>
                <w:iCs/>
                <w:color w:val="D4B872"/>
                <w:sz w:val="17"/>
                <w:szCs w:val="17"/>
              </w:rPr>
              <w:t xml:space="preserve">ITIL V4  ·  Transformation digitale  ·  20 ans d’expérience exécutive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47" w:val="clear"/>
            <w:tcMar>
              <w:top w:type="dxa" w:w="360"/>
              <w:left w:type="dxa" w:w="280"/>
              <w:bottom w:type="dxa" w:w="320"/>
              <w:right w:type="dxa" w:w="360"/>
            </w:tcMar>
            <w:vAlign w:val="center"/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color w:val="D4B872"/>
                <w:sz w:val="18"/>
                <w:szCs w:val="18"/>
              </w:rPr>
              <w:t xml:space="preserve">☏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+33 6 61 16 73 23</w:t>
            </w:r>
          </w:p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color w:val="D4B872"/>
                <w:sz w:val="18"/>
                <w:szCs w:val="18"/>
              </w:rPr>
              <w:t xml:space="preserve">✉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pousseuc@yahoo.fr</w:t>
            </w:r>
          </w:p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color w:val="D4B872"/>
                <w:sz w:val="18"/>
                <w:szCs w:val="18"/>
              </w:rPr>
              <w:t xml:space="preserve">⚑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Houilles (78) — Île-de-France</w:t>
            </w:r>
          </w:p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color w:val="D4B872"/>
                <w:sz w:val="18"/>
                <w:szCs w:val="18"/>
              </w:rPr>
              <w:t xml:space="preserve">⎇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linkedin.com/in/carine-byande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B08A3E" w:sz="10" w:space="4"/>
        </w:pBdr>
        <w:spacing w:after="80" w:before="0" w:line="240"/>
      </w:pPr>
      <w:r>
        <w:rPr>
          <w:rFonts w:ascii="Cambria" w:cs="Cambria" w:eastAsia="Cambria" w:hAnsi="Cambria"/>
          <w:b/>
          <w:bCs/>
          <w:caps/>
          <w:color w:val="0E2A47"/>
          <w:spacing w:val="50"/>
          <w:sz w:val="22"/>
          <w:szCs w:val="22"/>
        </w:rPr>
        <w:t xml:space="preserve">PROFIL DIRIGEANTE</w:t>
      </w:r>
    </w:p>
    <w:p>
      <w:pPr>
        <w:spacing w:after="90" w:before="60" w:line="2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Dirigeante IT avec 20 ans d’expérience à la tête de programmes de transformation complexes (jusqu’à 260 applications, 7 pays, 70+ collaborateurs offshore), je combine vision stratégique, pilotage opérationnel rigoureux et leadership humain.</w:t>
      </w:r>
    </w:p>
    <w:p>
      <w:pPr>
        <w:spacing w:after="80" w:before="0" w:line="2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Certifiée ITIL V4, j’ai démontré ma capacité à créer de la valeur durable dans des environnements exigeants en réduisant les coûts, en améliorant la qualité de service et en alignant durablement les organisations IT et métier.</w:t>
      </w:r>
    </w:p>
    <w:p>
      <w:pPr>
        <w:pBdr>
          <w:bottom w:val="single" w:color="D9D3C2" w:sz="6" w:space="1"/>
        </w:pBdr>
        <w:spacing w:after="120" w:before="0" w:line="80"/>
      </w:pPr>
      <w:r>
        <w:rPr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32"/>
        <w:gridCol w:w="4134"/>
      </w:tblGrid>
      <w:tr>
        <w:trPr>
          <w:cantSplit w:val="false"/>
        </w:trPr>
        <w:tc>
          <w:tcPr>
            <w:tcW w:type="dxa" w:w="6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200"/>
              <w:right w:type="dxa" w:w="320"/>
            </w:tcMar>
          </w:tcPr>
          <w:p>
            <w:pPr>
              <w:pBdr>
                <w:bottom w:val="single" w:color="B08A3E" w:sz="10" w:space="3"/>
              </w:pBdr>
              <w:spacing w:after="100" w:before="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50"/>
                <w:sz w:val="20"/>
                <w:szCs w:val="20"/>
              </w:rPr>
              <w:t xml:space="preserve">Expérience de direction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Depuis mars 2023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LevENT IT / Groupe Avril — Paris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Directrice des Opérations IT — Programme SAP ECC (7 pays)</w:t>
            </w:r>
          </w:p>
          <w:p>
            <w:pPr>
              <w:spacing w:after="60" w:before="0" w:line="25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6"/>
                <w:szCs w:val="16"/>
              </w:rPr>
              <w:t xml:space="preserve">Pilotage de l’intégration du SI groupe sur périmètre multinational : 260 applications, 7 filiales, modules Commerce, Finance, Logistique, Production, Qualité.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Direction opérationnelle et stratégique d’un portefeuille de 260 applications SI, dont SAP ECC Groupe.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Définition et pilotage de la stratégie de sourcing des fournisseurs de service (Built-to-Run) : sélection, contractualisation, gouvernance.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Mise en place du cadre de gouvernance SI : KPI, SLA, comitologie, communautés Key Users &amp; BPO à l’échelle groupe.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Pilotage des TMA multi-fournisseurs et activation de plans d’action correctifs (backlog, incidents, obsolescence).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Conduite du changement à l’échelle groupe : formation des Key Users, animation des communautés métier, pilotage de l’adoption.</w:t>
            </w:r>
          </w:p>
          <w:p>
            <w:pPr>
              <w:pBdr>
                <w:top w:val="single" w:color="C8B27A" w:sz="4" w:space="4"/>
                <w:bottom w:val="single" w:color="C8B27A" w:sz="4" w:space="4"/>
                <w:left w:val="single" w:color="C8B27A" w:sz="4" w:space="4"/>
                <w:right w:val="single" w:color="C8B27A" w:sz="4" w:space="4"/>
              </w:pBdr>
              <w:shd w:fill="FBF5E6" w:val="clear"/>
              <w:spacing w:after="80" w:before="60" w:line="24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08A3E"/>
                <w:sz w:val="16"/>
                <w:szCs w:val="16"/>
              </w:rPr>
              <w:t xml:space="preserve">Impact  </w:t>
            </w:r>
            <w:r>
              <w:rPr>
                <w:rFonts w:ascii="Calibri" w:cs="Calibri" w:eastAsia="Calibri" w:hAnsi="Calibri"/>
                <w:i/>
                <w:iCs/>
                <w:color w:val="1B3A5C"/>
                <w:sz w:val="15"/>
                <w:szCs w:val="15"/>
              </w:rPr>
              <w:t xml:space="preserve">−3 j délais de clôture tickets · −30 % insatisfactions clients · alignement SI/métier sur 7 pays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Avr. 2022 – Fév. 2023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Talan / Thales — Vélizy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Responsable du domaine IT Corporate — Programme NEXTGEN IS/IT</w:t>
            </w:r>
          </w:p>
          <w:p>
            <w:pPr>
              <w:spacing w:after="60" w:before="0" w:line="25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6"/>
                <w:szCs w:val="16"/>
              </w:rPr>
              <w:t xml:space="preserve">Programme de transformation digitale et modernisation du SI Thales. Responsable de la Value Tower Corporate Functions — 8 directions métier.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Direction d’un portefeuille de 40 applications stratégiques, management de 10 TMA et 67 collaborateurs (France, Inde, Roumanie).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Pilotage de la stratégie d’outsourcing des services de support et de la migration cloud (on-premises → cloud).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Co-construction de la roadmap SI avec les 8 directions métier : arbitrages, priorisation, gestion des risques.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Conduite du changement : communication sur les évolutions SI, ateliers d’appropriation, formation aux nouveaux outils.</w:t>
            </w:r>
          </w:p>
          <w:p>
            <w:pPr>
              <w:pBdr>
                <w:top w:val="single" w:color="C8B27A" w:sz="4" w:space="4"/>
                <w:bottom w:val="single" w:color="C8B27A" w:sz="4" w:space="4"/>
                <w:left w:val="single" w:color="C8B27A" w:sz="4" w:space="4"/>
                <w:right w:val="single" w:color="C8B27A" w:sz="4" w:space="4"/>
              </w:pBdr>
              <w:shd w:fill="FBF5E6" w:val="clear"/>
              <w:spacing w:after="80" w:before="60" w:line="24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08A3E"/>
                <w:sz w:val="16"/>
                <w:szCs w:val="16"/>
              </w:rPr>
              <w:t xml:space="preserve">Impact  </w:t>
            </w:r>
            <w:r>
              <w:rPr>
                <w:rFonts w:ascii="Calibri" w:cs="Calibri" w:eastAsia="Calibri" w:hAnsi="Calibri"/>
                <w:i/>
                <w:iCs/>
                <w:color w:val="1B3A5C"/>
                <w:sz w:val="15"/>
                <w:szCs w:val="15"/>
              </w:rPr>
              <w:t xml:space="preserve">−30 % coûts du run · +4 pts QoS applicative · +3 pts NPS satisfaction client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Mar. 2021 – Avr. 2022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Talan / Sofrecom — Vincennes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Directrice de programme — ERP Oracle Fusion (France, Tunisie, Maroc)</w:t>
            </w:r>
          </w:p>
          <w:p>
            <w:pPr>
              <w:spacing w:after="60" w:before="0" w:line="25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6"/>
                <w:szCs w:val="16"/>
              </w:rPr>
              <w:t xml:space="preserve">Déploiement d’Oracle Fusion (GL, AP, AR, PA, FA) dans toutes les filiales Orange afin d’uniformiser les systèmes de gestion financière.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Responsabilité globale du programme : gouvernance, planification (PERT, chemin critique), pilotage budgétaire et risques.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Management de 10 à 15 collaborateurs : chefs de projet, ingénieurs, experts fonctionnels.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Pilotage du changement : impacts métier, formation Finance / Achat / Facturation / Recouvrement, suivi post-déploiement.</w:t>
            </w:r>
          </w:p>
          <w:p>
            <w:pPr>
              <w:pBdr>
                <w:top w:val="single" w:color="C8B27A" w:sz="4" w:space="4"/>
                <w:bottom w:val="single" w:color="C8B27A" w:sz="4" w:space="4"/>
                <w:left w:val="single" w:color="C8B27A" w:sz="4" w:space="4"/>
                <w:right w:val="single" w:color="C8B27A" w:sz="4" w:space="4"/>
              </w:pBdr>
              <w:shd w:fill="FBF5E6" w:val="clear"/>
              <w:spacing w:after="80" w:before="60" w:line="24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08A3E"/>
                <w:sz w:val="16"/>
                <w:szCs w:val="16"/>
              </w:rPr>
              <w:t xml:space="preserve">Impact  </w:t>
            </w:r>
            <w:r>
              <w:rPr>
                <w:rFonts w:ascii="Calibri" w:cs="Calibri" w:eastAsia="Calibri" w:hAnsi="Calibri"/>
                <w:i/>
                <w:iCs/>
                <w:color w:val="1B3A5C"/>
                <w:sz w:val="15"/>
                <w:szCs w:val="15"/>
              </w:rPr>
              <w:t xml:space="preserve">−2 j sur les délais de clôture mensuelle, trimestrielle et annuelle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Août 2020 – Fév. 2021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Talan / Agro Mousquetaires — Vitré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Directrice de programme PMO — Convergence SI Logistique (Sage X3)</w:t>
            </w:r>
          </w:p>
          <w:p>
            <w:pPr>
              <w:spacing w:after="60" w:before="0" w:line="25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6"/>
                <w:szCs w:val="16"/>
              </w:rPr>
              <w:t xml:space="preserve">Rationalisation du SI logistique via implémentation de Sage X3.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Étude de faisabilité, cadrage stratégique, définition du plan programme et macro-chiffrage.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Pilotage budgétaire et reporting au directeur financier (sponsor).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Conduite du changement dans les unités de production : cartographie des impacts, formation, support post-go-live.</w:t>
            </w:r>
          </w:p>
          <w:p>
            <w:pPr>
              <w:pBdr>
                <w:top w:val="single" w:color="C8B27A" w:sz="4" w:space="4"/>
                <w:bottom w:val="single" w:color="C8B27A" w:sz="4" w:space="4"/>
                <w:left w:val="single" w:color="C8B27A" w:sz="4" w:space="4"/>
                <w:right w:val="single" w:color="C8B27A" w:sz="4" w:space="4"/>
              </w:pBdr>
              <w:shd w:fill="FBF5E6" w:val="clear"/>
              <w:spacing w:after="80" w:before="60" w:line="24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08A3E"/>
                <w:sz w:val="16"/>
                <w:szCs w:val="16"/>
              </w:rPr>
              <w:t xml:space="preserve">Impact  </w:t>
            </w:r>
            <w:r>
              <w:rPr>
                <w:rFonts w:ascii="Calibri" w:cs="Calibri" w:eastAsia="Calibri" w:hAnsi="Calibri"/>
                <w:i/>
                <w:iCs/>
                <w:color w:val="1B3A5C"/>
                <w:sz w:val="15"/>
                <w:szCs w:val="15"/>
              </w:rPr>
              <w:t xml:space="preserve">−20 % de ressaisie · −15 % coûts d’infrastructure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Fév. 2012 – Janv. 2020 (8 ans)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AXA France — Nanterre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Directrice des Services IT — Transformation digitale Marketing &amp; Outils de Vente</w:t>
            </w:r>
          </w:p>
          <w:p>
            <w:pPr>
              <w:spacing w:after="60" w:before="0" w:line="25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6"/>
                <w:szCs w:val="16"/>
              </w:rPr>
              <w:t xml:space="preserve">Direction des programmes de digitalisation de l’offre marketing multi-canal AXA et de rationalisation des OAV Santé, Épargne, Retraite.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Direction d’une organisation de 34 ressources Build/Run (Inde) et 23 techniciens TMA (Maroc) : pilotage opérationnel et contractuel.</w:t>
            </w:r>
          </w:p>
          <w:p>
            <w:pPr>
              <w:spacing w:after="30" w:before="0" w:line="240"/>
              <w:ind w:left="240" w:hanging="220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16"/>
                <w:szCs w:val="16"/>
              </w:rPr>
              <w:t xml:space="preserve">★ 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Stratégie digitale : déploiement d’Adobe Campaign, mise en place de nouveaux canaux de communication groupe.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Conseil et accompagnement des directions métier dans l’optimisation du P&amp;L IT · mise en place du Wiki OAV.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Conduite du changement : co-conception métier, formation des équipes commerciales, suivi de l’adoption des modules digitaux.</w:t>
            </w:r>
          </w:p>
          <w:p>
            <w:pPr>
              <w:pBdr>
                <w:top w:val="single" w:color="C8B27A" w:sz="4" w:space="4"/>
                <w:bottom w:val="single" w:color="C8B27A" w:sz="4" w:space="4"/>
                <w:left w:val="single" w:color="C8B27A" w:sz="4" w:space="4"/>
                <w:right w:val="single" w:color="C8B27A" w:sz="4" w:space="4"/>
              </w:pBdr>
              <w:shd w:fill="FBF5E6" w:val="clear"/>
              <w:spacing w:after="80" w:before="60" w:line="24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08A3E"/>
                <w:sz w:val="16"/>
                <w:szCs w:val="16"/>
              </w:rPr>
              <w:t xml:space="preserve">Impact  </w:t>
            </w:r>
            <w:r>
              <w:rPr>
                <w:rFonts w:ascii="Calibri" w:cs="Calibri" w:eastAsia="Calibri" w:hAnsi="Calibri"/>
                <w:i/>
                <w:iCs/>
                <w:color w:val="1B3A5C"/>
                <w:sz w:val="15"/>
                <w:szCs w:val="15"/>
              </w:rPr>
              <w:t xml:space="preserve">30 → 70 % communication gérée via Adobe Campaign · −60 % coûts infra · +40 % performances applicatives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Jan. 2009 – Jan. 2012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Accenture / EDF — Nantes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Chef de Projet — Déploiement CRM/ISU SAP (SIMM RC)</w:t>
            </w:r>
          </w:p>
          <w:p>
            <w:pPr>
              <w:spacing w:after="60" w:before="0" w:line="25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6"/>
                <w:szCs w:val="16"/>
              </w:rPr>
              <w:t xml:space="preserve">Déploiement SAP CRM dans tous les centres de service EDF.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Pilotage du déploiement national · taskforce 15 → 47 ETP · industrialisation de la formation · support opérateurs.</w:t>
            </w:r>
          </w:p>
          <w:p>
            <w:pPr>
              <w:pBdr>
                <w:top w:val="single" w:color="C8B27A" w:sz="4" w:space="4"/>
                <w:bottom w:val="single" w:color="C8B27A" w:sz="4" w:space="4"/>
                <w:left w:val="single" w:color="C8B27A" w:sz="4" w:space="4"/>
                <w:right w:val="single" w:color="C8B27A" w:sz="4" w:space="4"/>
              </w:pBdr>
              <w:shd w:fill="FBF5E6" w:val="clear"/>
              <w:spacing w:after="80" w:before="60" w:line="24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08A3E"/>
                <w:sz w:val="16"/>
                <w:szCs w:val="16"/>
              </w:rPr>
              <w:t xml:space="preserve">Impact  </w:t>
            </w:r>
            <w:r>
              <w:rPr>
                <w:rFonts w:ascii="Calibri" w:cs="Calibri" w:eastAsia="Calibri" w:hAnsi="Calibri"/>
                <w:i/>
                <w:iCs/>
                <w:color w:val="1B3A5C"/>
                <w:sz w:val="15"/>
                <w:szCs w:val="15"/>
              </w:rPr>
              <w:t xml:space="preserve">−50 % temps de résolution incidents · +30 % performances des centres de service</w:t>
            </w:r>
          </w:p>
          <w:p>
            <w:pPr>
              <w:keepNext/>
              <w:spacing w:after="30" w:before="160" w:line="240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2007 – 2008  ·  </w:t>
            </w:r>
            <w:r>
              <w:rPr>
                <w:rFonts w:ascii="Calibri" w:cs="Calibri" w:eastAsia="Calibri" w:hAnsi="Calibri"/>
                <w:b/>
                <w:bCs/>
                <w:caps/>
                <w:color w:val="6B6B6B"/>
                <w:spacing w:val="15"/>
                <w:sz w:val="16"/>
                <w:szCs w:val="16"/>
              </w:rPr>
              <w:t xml:space="preserve">Accenture / AG2R La Mondiale — Châtillon</w:t>
            </w:r>
          </w:p>
          <w:p>
            <w:pPr>
              <w:keepNext/>
              <w:spacing w:after="50" w:before="0" w:line="24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8"/>
                <w:szCs w:val="18"/>
              </w:rPr>
              <w:t xml:space="preserve">Chef de Projet — Refonte SI Retraites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Cadrage fonctionnel, planification, spécifications, recette.</w:t>
            </w:r>
          </w:p>
        </w:tc>
        <w:tc>
          <w:tcPr>
            <w:tcW w:type="dxa" w:w="4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320"/>
              <w:bottom w:type="dxa" w:w="200"/>
              <w:right w:type="dxa" w:w="0"/>
            </w:tcMar>
          </w:tcPr>
          <w:p>
            <w:pPr>
              <w:pBdr>
                <w:bottom w:val="single" w:color="B08A3E" w:sz="8" w:space="4"/>
              </w:pBdr>
              <w:spacing w:after="140" w:before="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Compétences dirigeantes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Stratégie SI &amp; gouvernance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Direction de programmes complexes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Management d’équipes multisites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Pilotage financier &amp; P&amp;L 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Conduite du changement à l’échelle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Optimisation des opérations 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Relations partenaires &amp; fournisseurs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Transformation &amp; innovation</w:t>
            </w:r>
          </w:p>
          <w:p>
            <w:pPr>
              <w:pBdr>
                <w:bottom w:val="single" w:color="B08A3E" w:sz="8" w:space="4"/>
              </w:pBdr>
              <w:spacing w:after="140" w:before="32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Environnements technologiques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ERP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SAP ECC, Oracle Fusion, Sage X3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Marketing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Adobe Campaign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Reporting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Power BI, JIRA, CLEA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ITSM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ServiceNow, Frugal Design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Dev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ABAP, Java, SQL, PERL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Collab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SharePoint</w:t>
            </w:r>
          </w:p>
          <w:p>
            <w:pPr>
              <w:pBdr>
                <w:bottom w:val="single" w:color="B08A3E" w:sz="8" w:space="4"/>
              </w:pBdr>
              <w:spacing w:after="140" w:before="32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Certifications &amp; formation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2022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ITIL V4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2017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Gestion de projet Agile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2015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Adobe Campaign End User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2014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ORSYS Gestion de projet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2009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SAP ABAP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2007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Master Informatique — Univ. Montpellier 2</w:t>
            </w:r>
          </w:p>
          <w:p>
            <w:pPr>
              <w:pBdr>
                <w:bottom w:val="single" w:color="B08A3E" w:sz="8" w:space="4"/>
              </w:pBdr>
              <w:spacing w:after="140" w:before="32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Langues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Français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langue maternelle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Anglais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professionnel (B2)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Allemand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notions</w:t>
            </w:r>
          </w:p>
          <w:p>
            <w:pPr>
              <w:pBdr>
                <w:bottom w:val="single" w:color="B08A3E" w:sz="8" w:space="4"/>
              </w:pBdr>
              <w:spacing w:after="140" w:before="32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Secteurs d’expertise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Industrie / Agroalimentaire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Défense (Thales)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Énergie (Total, EDF)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Assurances (AXA)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10" w:before="0" w:line="27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Télécom (Orange)</w:t>
            </w:r>
          </w:p>
          <w:p>
            <w:pPr>
              <w:pBdr>
                <w:bottom w:val="single" w:color="B08A3E" w:sz="8" w:space="4"/>
              </w:pBdr>
              <w:spacing w:after="140" w:before="32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Présence internationale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Offshore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Inde, Maroc, Roumanie</w:t>
            </w:r>
          </w:p>
          <w:p>
            <w:pPr>
              <w:tabs>
                <w:tab w:val="left" w:pos="1200"/>
              </w:tabs>
              <w:spacing w:after="110" w:before="0" w:line="27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15"/>
                <w:szCs w:val="15"/>
              </w:rPr>
              <w:t xml:space="preserve">Pays clients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	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FR, BE, UK, MA, TN</w:t>
            </w:r>
          </w:p>
          <w:p>
            <w:pPr>
              <w:pBdr>
                <w:bottom w:val="single" w:color="B08A3E" w:sz="8" w:space="4"/>
              </w:pBdr>
              <w:spacing w:after="140" w:before="320" w:line="240"/>
            </w:pPr>
            <w:r>
              <w:rPr>
                <w:rFonts w:ascii="Cambria" w:cs="Cambria" w:eastAsia="Cambria" w:hAnsi="Cambria"/>
                <w:b/>
                <w:bCs/>
                <w:caps/>
                <w:color w:val="0E2A47"/>
                <w:spacing w:val="40"/>
                <w:sz w:val="18"/>
                <w:szCs w:val="18"/>
              </w:rPr>
              <w:t xml:space="preserve">Soft skills</w:t>
            </w:r>
          </w:p>
          <w:p>
            <w:pPr>
              <w:spacing w:after="100" w:before="220"/>
              <w:jc w:val="center"/>
            </w:pPr>
            <w:r>
              <w:drawing>
                <wp:inline distT="0" distB="0" distL="0" distR="0">
                  <wp:extent cx="2190750" cy="2286000"/>
                  <wp:effectExtent t="0" r="0" b="0" l="0"/>
                  <wp:docPr id="1" name="softskills" descr="Cerveau soft skills" title="Soft skil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headerReference w:type="first" r:id="rId8"/>
      <w:pgSz w:w="11906" w:h="16838" w:orient="portrait"/>
      <w:pgMar w:top="540" w:right="720" w:bottom="540" w:left="720" w:header="200" w:footer="2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800" w:lineRule="exact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rFonts w:ascii="Calibri" w:cs="Calibri" w:eastAsia="Calibri" w:hAnsi="Calibri"/>
        <w:color w:val="0E2A4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220" w:hanging="180"/>
      </w:pPr>
      <w:rPr>
        <w:rFonts w:ascii="Calibri" w:cs="Calibri" w:eastAsia="Calibri" w:hAnsi="Calibri"/>
        <w:color w:val="B08A3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32a948883ae661a004a3a0d3c782e792971499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Carine Byande</dc:title>
  <dc:creator>LevENT IT</dc:creator>
  <cp:lastModifiedBy>Un-named</cp:lastModifiedBy>
  <cp:revision>1</cp:revision>
  <dcterms:created xsi:type="dcterms:W3CDTF">2026-05-02T12:55:22.497Z</dcterms:created>
  <dcterms:modified xsi:type="dcterms:W3CDTF">2026-05-02T12:55:22.497Z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