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5bc052020b7ad6b2d7534a1632df491987c4dd3"/>
    <w:p>
      <w:pPr>
        <w:pStyle w:val="Heading1"/>
      </w:pPr>
      <w:r>
        <w:t xml:space="preserve">Test Plan: SkyPermit (drone flight authorisation)</w:t>
      </w:r>
    </w:p>
    <w:p>
      <w:pPr>
        <w:pStyle w:val="FirstParagraph"/>
      </w:pPr>
      <w:r>
        <w:t xml:space="preserve">Source: SkyPermit_SRS.pdf v1.0 (7 pp), 2026-10-18. Author: ______</w:t>
      </w:r>
    </w:p>
    <w:bookmarkStart w:id="9" w:name="X14dfe8f0b252f4039975e19fb03b37d6f7b59ff"/>
    <w:p>
      <w:pPr>
        <w:pStyle w:val="Heading2"/>
      </w:pPr>
      <w:r>
        <w:t xml:space="preserve">1. Scope</w:t>
      </w:r>
    </w:p>
    <w:p>
      <w:pPr>
        <w:pStyle w:val="FirstParagraph"/>
      </w:pPr>
      <w:r>
        <w:rPr>
          <w:b/>
          <w:bCs/>
        </w:rPr>
        <w:t xml:space="preserve">In scope:</w:t>
      </w:r>
    </w:p>
    <w:p>
      <w:pPr>
        <w:pStyle w:val="Compact"/>
        <w:numPr>
          <w:ilvl w:val="0"/>
          <w:numId w:val="1001"/>
        </w:numPr>
      </w:pPr>
      <w:r>
        <w:t xml:space="preserve">Four-gate check, fixed order Pilot, Aircraft, Zone, Time window; first failure only (SRS §5)</w:t>
      </w:r>
    </w:p>
    <w:p>
      <w:pPr>
        <w:pStyle w:val="Compact"/>
        <w:numPr>
          <w:ilvl w:val="0"/>
          <w:numId w:val="1001"/>
        </w:numPr>
      </w:pPr>
      <w:r>
        <w:t xml:space="preserve">Flight request lifecycle: seven states, illegal moves refused, cancel up to 2 h before start (§4)</w:t>
      </w:r>
    </w:p>
    <w:p>
      <w:pPr>
        <w:pStyle w:val="Compact"/>
        <w:numPr>
          <w:ilvl w:val="0"/>
          <w:numId w:val="1001"/>
        </w:numPr>
      </w:pPr>
      <w:r>
        <w:t xml:space="preserve">Operator portal: registration, pilot/aircraft registries, requests, dry-run check (§7)</w:t>
      </w:r>
    </w:p>
    <w:p>
      <w:pPr>
        <w:pStyle w:val="Compact"/>
        <w:numPr>
          <w:ilvl w:val="0"/>
          <w:numId w:val="1001"/>
        </w:numPr>
      </w:pPr>
      <w:r>
        <w:t xml:space="preserve">Reviewer queue: ID-based access, approve, reject with mandatory note (§2, §7)</w:t>
      </w:r>
    </w:p>
    <w:p>
      <w:pPr>
        <w:pStyle w:val="Compact"/>
        <w:numPr>
          <w:ilvl w:val="0"/>
          <w:numId w:val="1001"/>
        </w:numPr>
      </w:pPr>
      <w:r>
        <w:t xml:space="preserve">Access control and failure responses (§2, §8)</w:t>
      </w:r>
    </w:p>
    <w:p>
      <w:pPr>
        <w:pStyle w:val="FirstParagraph"/>
      </w:pPr>
      <w:r>
        <w:rPr>
          <w:b/>
          <w:bCs/>
        </w:rPr>
        <w:t xml:space="preserve">Out of scope:</w:t>
      </w:r>
    </w:p>
    <w:p>
      <w:pPr>
        <w:pStyle w:val="Compact"/>
        <w:numPr>
          <w:ilvl w:val="0"/>
          <w:numId w:val="1002"/>
        </w:numPr>
      </w:pPr>
      <w:r>
        <w:t xml:space="preserve">Zone administration and raising authorisation tiers: done outside the app (§2, §6)</w:t>
      </w:r>
    </w:p>
    <w:p>
      <w:pPr>
        <w:pStyle w:val="Compact"/>
        <w:numPr>
          <w:ilvl w:val="0"/>
          <w:numId w:val="1002"/>
        </w:numPr>
      </w:pPr>
      <w:r>
        <w:t xml:space="preserve">Performance, load and penetration testing: no requirements in the SRS</w:t>
      </w:r>
    </w:p>
    <w:bookmarkEnd w:id="9"/>
    <w:bookmarkStart w:id="10" w:name="Xa2a27bcfcea86be6e6bae6557851ee34f9f1985"/>
    <w:p>
      <w:pPr>
        <w:pStyle w:val="Heading2"/>
      </w:pPr>
      <w:r>
        <w:t xml:space="preserve">2.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Mitigation / test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Suspended-operator block response undefined (§9)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Test only that creating and submitting are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rules: 6 h lead, 60 days, 15-240 min, continuous curfew, touching windows allowed (§5)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BVA on each limit; curfew edges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 the first failing gate is reported; zone-inactive citation is a placeholder (§5, §9)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Multi-failure requests; do not assert that 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 (18 months, no grace) checked at flight time; weight band and currency derived, not stored (§3, §5)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Boundary dates; edit data and recheck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Operators must see only their own data; reviewer sees all (§2, §8)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Cross-operator access matrix</w:t>
            </w:r>
          </w:p>
        </w:tc>
      </w:tr>
    </w:tbl>
    <w:bookmarkEnd w:id="10"/>
    <w:bookmarkStart w:id="11" w:name="Xaf64b632cadb110736acaab6e0ab627b2b98e49"/>
    <w:p>
      <w:pPr>
        <w:pStyle w:val="Heading2"/>
      </w:pPr>
      <w:r>
        <w:t xml:space="preserve">3. Test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logic</w:t>
            </w:r>
          </w:p>
        </w:tc>
        <w:tc>
          <w:tcPr/>
          <w:p>
            <w:pPr>
              <w:pStyle w:val="Compact"/>
            </w:pPr>
            <w:r>
              <w:t xml:space="preserve">Exploratory on cross-gate combinations</w:t>
            </w:r>
          </w:p>
        </w:tc>
        <w:tc>
          <w:tcPr/>
          <w:p>
            <w:pPr>
              <w:pStyle w:val="Compact"/>
            </w:pPr>
            <w:r>
              <w:t xml:space="preserve">Per-gate pass/fail, order, limits: stable, high-volume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transitions</w:t>
            </w:r>
          </w:p>
        </w:tc>
        <w:tc>
          <w:tcPr/>
          <w:p>
            <w:pPr>
              <w:pStyle w:val="Compact"/>
            </w:pPr>
            <w:r>
              <w:t xml:space="preserve">Races such as cancel versus approve</w:t>
            </w:r>
          </w:p>
        </w:tc>
        <w:tc>
          <w:tcPr/>
          <w:p>
            <w:pPr>
              <w:pStyle w:val="Compact"/>
            </w:pPr>
            <w:r>
              <w:t xml:space="preserve">Every legal and illegal move, 2 h cancel cutoff: deterministic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Reviewer ID entry</w:t>
            </w:r>
          </w:p>
        </w:tc>
        <w:tc>
          <w:tcPr/>
          <w:p>
            <w:pPr>
              <w:pStyle w:val="Compact"/>
            </w:pPr>
            <w:r>
              <w:t xml:space="preserve">Operator isolation, not-logged-in versus not-permitted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Registries, derived values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Weight bands (900 g, 3.5, 12, 30 kg), 30 kg refusal, recalculation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Dry-run usability, reviewer queue, pickers deliberately unfiltered</w:t>
            </w:r>
          </w:p>
        </w:tc>
        <w:tc>
          <w:tcPr/>
          <w:p>
            <w:pPr>
              <w:pStyle w:val="Compact"/>
            </w:pPr>
            <w:r>
              <w:t xml:space="preserve">Smoke of core flows once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items</w:t>
            </w:r>
          </w:p>
        </w:tc>
        <w:tc>
          <w:tcPr/>
          <w:p>
            <w:pPr>
              <w:pStyle w:val="Compact"/>
            </w:pPr>
            <w:r>
              <w:t xml:space="preserve">Suspended-operator response, zone-inactive citation</w:t>
            </w:r>
          </w:p>
        </w:tc>
        <w:tc>
          <w:tcPr/>
          <w:p>
            <w:pPr>
              <w:pStyle w:val="Compact"/>
            </w:pPr>
            <w:r>
              <w:t xml:space="preserve">None until clarified</w:t>
            </w:r>
          </w:p>
        </w:tc>
      </w:tr>
    </w:tbl>
    <w:p>
      <w:pPr>
        <w:pStyle w:val="BodyText"/>
      </w:pPr>
      <w:r>
        <w:t xml:space="preserve">Techniques: EP (ratings by zone class), BVA (limits above), decision table (gates by zone), state transition (§4).</w:t>
      </w:r>
    </w:p>
    <w:bookmarkEnd w:id="11"/>
    <w:bookmarkStart w:id="12" w:name="X1588593400e9a0ee5e24b206e331d548864a997"/>
    <w:p>
      <w:pPr>
        <w:pStyle w:val="Heading2"/>
      </w:pPr>
      <w:r>
        <w:t xml:space="preserve">4. Environments</w:t>
      </w:r>
    </w:p>
    <w:p>
      <w:pPr>
        <w:pStyle w:val="Compact"/>
        <w:numPr>
          <w:ilvl w:val="0"/>
          <w:numId w:val="1003"/>
        </w:numPr>
      </w:pPr>
      <w:r>
        <w:t xml:space="preserve">Staging with the six seeded zones (§6); dev for smoke only (assumed, not in SRS)</w:t>
      </w:r>
    </w:p>
    <w:p>
      <w:pPr>
        <w:pStyle w:val="Compact"/>
        <w:numPr>
          <w:ilvl w:val="0"/>
          <w:numId w:val="1003"/>
        </w:numPr>
      </w:pPr>
      <w:r>
        <w:t xml:space="preserve">Synthetic operators, pilots, aircraft; no real national IDs or contact details</w:t>
      </w:r>
    </w:p>
    <w:p>
      <w:pPr>
        <w:pStyle w:val="Compact"/>
        <w:numPr>
          <w:ilvl w:val="0"/>
          <w:numId w:val="1003"/>
        </w:numPr>
      </w:pPr>
      <w:r>
        <w:t xml:space="preserve">Operator and reviewer roles; controllable clock for lead time, currency, curfew</w:t>
      </w:r>
    </w:p>
    <w:bookmarkEnd w:id="12"/>
    <w:bookmarkStart w:id="13" w:name="X3af06f93435b3301656d13799f30e8967a44c8c"/>
    <w:p>
      <w:pPr>
        <w:pStyle w:val="Heading2"/>
      </w:pPr>
      <w:r>
        <w:t xml:space="preserve">5. Entry Criteria</w:t>
      </w:r>
    </w:p>
    <w:p>
      <w:pPr>
        <w:pStyle w:val="Compact"/>
        <w:numPr>
          <w:ilvl w:val="0"/>
          <w:numId w:val="1004"/>
        </w:numPr>
      </w:pPr>
      <w:r>
        <w:t xml:space="preserve">SRS reviewed with QA; open items (§9) accepted as known gaps</w:t>
      </w:r>
    </w:p>
    <w:p>
      <w:pPr>
        <w:pStyle w:val="Compact"/>
        <w:numPr>
          <w:ilvl w:val="0"/>
          <w:numId w:val="1004"/>
        </w:numPr>
      </w:pPr>
      <w:r>
        <w:t xml:space="preserve">Build deployed and smoke-tested on staging</w:t>
      </w:r>
    </w:p>
    <w:p>
      <w:pPr>
        <w:pStyle w:val="Compact"/>
        <w:numPr>
          <w:ilvl w:val="0"/>
          <w:numId w:val="1004"/>
        </w:numPr>
      </w:pPr>
      <w:r>
        <w:t xml:space="preserve">Synthetic data and both roles available</w:t>
      </w:r>
    </w:p>
    <w:bookmarkEnd w:id="13"/>
    <w:bookmarkStart w:id="14" w:name="X29e42f4b203dee56b19ba8c09364d339bbfd3d6"/>
    <w:p>
      <w:pPr>
        <w:pStyle w:val="Heading2"/>
      </w:pPr>
      <w:r>
        <w:t xml:space="preserve">6. Exit Criteria</w:t>
      </w:r>
    </w:p>
    <w:p>
      <w:pPr>
        <w:pStyle w:val="Compact"/>
        <w:numPr>
          <w:ilvl w:val="0"/>
          <w:numId w:val="1005"/>
        </w:numPr>
      </w:pPr>
      <w:r>
        <w:t xml:space="preserve">All planned tests executed; no open Critical/High defects (proposed)</w:t>
      </w:r>
    </w:p>
    <w:p>
      <w:pPr>
        <w:pStyle w:val="Compact"/>
        <w:numPr>
          <w:ilvl w:val="0"/>
          <w:numId w:val="1005"/>
        </w:numPr>
      </w:pPr>
      <w:r>
        <w:t xml:space="preserve">Every state transition and gate rule covered at least once</w:t>
      </w:r>
    </w:p>
    <w:p>
      <w:pPr>
        <w:pStyle w:val="Compact"/>
        <w:numPr>
          <w:ilvl w:val="0"/>
          <w:numId w:val="1005"/>
        </w:numPr>
      </w:pPr>
      <w:r>
        <w:t xml:space="preserve">Regression suite green in CI for 3 consecutive runs (proposed)</w:t>
      </w:r>
    </w:p>
    <w:p>
      <w:pPr>
        <w:pStyle w:val="Compact"/>
        <w:numPr>
          <w:ilvl w:val="0"/>
          <w:numId w:val="1005"/>
        </w:numPr>
      </w:pPr>
      <w:r>
        <w:t xml:space="preserve">Open items resolved or recorded as known risks</w:t>
      </w:r>
    </w:p>
    <w:p>
      <w:pPr>
        <w:pStyle w:val="FirstParagraph"/>
      </w:pPr>
      <w:r>
        <w:rPr>
          <w:b/>
          <w:bCs/>
        </w:rPr>
        <w:t xml:space="preserve">Needs your input:</w:t>
      </w:r>
      <w:r>
        <w:t xml:space="preserve"> </w:t>
      </w:r>
      <w:r>
        <w:t xml:space="preserve">confirm thresholds marked (proposed); SRS gives no environments, status codes or non-functional targets, so those are assumed; suspended-operator response (§9).</w:t>
      </w:r>
    </w:p>
    <w:bookmarkEnd w:id="14"/>
    <w:bookmarkEnd w:id="15"/>
    <w:sectPr>
      <w:pgSz w:h="16838" w:w="11906"/>
      <w:pgMar w:bottom="720" w:footer="360" w:gutter="0" w:header="360" w:left="720" w:right="720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19"/>
        <w:szCs w:val="19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30" w:before="3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10" w:before="0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40" w:before="0"/>
      <w:outlineLvl w:val="0"/>
    </w:pPr>
    <w:rPr>
      <w:rFonts w:asciiTheme="majorHAnsi" w:cstheme="majorBidi" w:eastAsiaTheme="majorEastAsia" w:hAnsiTheme="majorHAnsi"/>
      <w:color w:themeColor="accent1" w:themeShade="BF" w:val="0F4761"/>
      <w:sz w:val="30"/>
      <w:szCs w:val="3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3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2"/>
      <w:szCs w:val="2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BBBBB" w:space="0" w:sz="4" w:val="single"/>
        <w:left w:color="BBBBBB" w:space="0" w:sz="4" w:val="single"/>
        <w:bottom w:color="BBBBBB" w:space="0" w:sz="4" w:val="single"/>
        <w:right w:color="BBBBBB" w:space="0" w:sz="4" w:val="single"/>
        <w:insideH w:color="BBBBBB" w:space="0" w:sz="4" w:val="single"/>
        <w:insideV w:color="BBBBBB" w:space="0" w:sz="4" w:val="single"/>
      </w:tblBorders>
      <w:tblCellMar>
        <w:top w:type="dxa" w:w="30"/>
        <w:left w:type="dxa" w:w="108"/>
        <w:bottom w:type="dxa" w:w="3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Theme="minorHAnsi" w:cstheme="minorBidi" w:eastAsiaTheme="minorEastAsia" w:hAnsiTheme="minorHAnsi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2026-10-18T20:24:32Z</dcterms:created>
  <dcterms:modified xsi:type="dcterms:W3CDTF">2026-10-18T20:24:32Z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