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41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自主决定是否让某子agent数据分析而不是硬性，eg：</w:t>
      </w:r>
    </w:p>
    <w:p w14:paraId="7615E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发现某日资金极度异常，调用资金追查agent（未开发）查询。</w:t>
      </w:r>
    </w:p>
    <w:p w14:paraId="3E6E9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某日子agent风险查询到利空信息，统筹需分析如何利空，持续多久（也许可以开发子agent分析利空）。</w:t>
      </w:r>
    </w:p>
    <w:p w14:paraId="3D5E6545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外围行情agent查出外围市场出现极端行情，调用外围资金agent或者资金agent（均未开发）查询外围哪个板块异常，思考是长期利空or短期利空，对a股哪个板块影响（思考可以开发上述子agent或者统筹来思考，等待确认）。</w:t>
      </w:r>
    </w:p>
    <w:p w14:paraId="71182581">
      <w:pPr>
        <w:ind w:firstLine="420" w:firstLineChars="200"/>
        <w:rPr>
          <w:rFonts w:hint="eastAsia"/>
          <w:lang w:val="en-US" w:eastAsia="zh-CN"/>
        </w:rPr>
      </w:pPr>
    </w:p>
    <w:p w14:paraId="103994F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还有一个思路，是否可以在统筹上层开发一个思考agent，作为大脑，大脑首先接受量化数据的报告，分析需要调用哪些agent去解读数据。统筹变为颈部，接受大脑的输入，例如大脑调用哪些就去输出信息给子agent派活干。最后子agent干好活了汇报信息全部交给颈部统筹，统筹输入结构化信息，例如：获得外围数据为什么，量化数据为什么，板块资金数据为什么，利空分析为什么（长期or短期）。最后统一以结构化文本输出给思考大脑，由大脑再次判定需要补充什么信息，以便再次叫统筹分任务。</w:t>
      </w:r>
    </w:p>
    <w:p w14:paraId="56C169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B1112"/>
    <w:rsid w:val="501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2026-09-03T03:22:39Z</dcterms:created>
  <dc:creator>13717</dc:creator>
  <cp:lastModifiedBy>FzX²~Byeol spirit</cp:lastModifiedBy>
  <dcterms:modified xsi:type="dcterms:W3CDTF">2026-09-03T03:34:55Z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eyJoZGlkIjoiOWFlNDQ0N2I0NzJhZjU1OWMyYzNjYjQwMWQ3OTk0YjMiLCJ1c2VySWQiOiI2NjIwNzY2MzkifQ==</vt:lpwstr>
  </property>
  <property fmtid="{D5CDD505-2E9C-101B-9397-08002B2CF9AE}" pid="4" name="ICV">
    <vt:lpwstr>60DC44CF3E164E70909781104580574E_12</vt:lpwstr>
  </property>
</Properties>
</file>